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82" w:rsidRPr="001F4F9F" w:rsidRDefault="001F6482" w:rsidP="007E2FEE">
      <w:pPr>
        <w:ind w:left="5381" w:hanging="425"/>
        <w:rPr>
          <w:rFonts w:ascii="Times New Roman" w:hAnsi="Times New Roman"/>
          <w:b/>
          <w:sz w:val="24"/>
          <w:szCs w:val="24"/>
        </w:rPr>
      </w:pPr>
      <w:r w:rsidRPr="001F4F9F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A80ABB">
        <w:rPr>
          <w:rFonts w:ascii="Times New Roman" w:hAnsi="Times New Roman"/>
          <w:b/>
          <w:sz w:val="24"/>
          <w:szCs w:val="24"/>
        </w:rPr>
        <w:t>9</w:t>
      </w:r>
    </w:p>
    <w:p w:rsidR="001F6482" w:rsidRDefault="001F6482" w:rsidP="00690E09">
      <w:pPr>
        <w:spacing w:after="0"/>
        <w:ind w:left="4962" w:hanging="6"/>
        <w:rPr>
          <w:rFonts w:ascii="Times New Roman" w:hAnsi="Times New Roman"/>
          <w:sz w:val="24"/>
          <w:szCs w:val="24"/>
        </w:rPr>
      </w:pPr>
      <w:r w:rsidRPr="001F4F9F">
        <w:rPr>
          <w:rFonts w:ascii="Times New Roman" w:hAnsi="Times New Roman"/>
          <w:sz w:val="24"/>
          <w:szCs w:val="24"/>
        </w:rPr>
        <w:t xml:space="preserve">к Правилам </w:t>
      </w:r>
      <w:r w:rsidR="00FD4A81" w:rsidRPr="001F4F9F">
        <w:rPr>
          <w:rFonts w:ascii="Times New Roman" w:hAnsi="Times New Roman"/>
          <w:sz w:val="24"/>
          <w:szCs w:val="24"/>
        </w:rPr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</w:p>
    <w:p w:rsidR="001F4F9F" w:rsidRDefault="001F4F9F" w:rsidP="00690E09">
      <w:pPr>
        <w:spacing w:after="0"/>
        <w:ind w:left="4962" w:hanging="6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F4F9F" w:rsidRPr="001F4F9F" w:rsidRDefault="001F4F9F" w:rsidP="00690E09">
      <w:pPr>
        <w:spacing w:after="0"/>
        <w:ind w:left="4962" w:hanging="6"/>
        <w:rPr>
          <w:rFonts w:ascii="Times New Roman" w:hAnsi="Times New Roman"/>
          <w:i/>
          <w:sz w:val="24"/>
          <w:szCs w:val="24"/>
        </w:rPr>
      </w:pPr>
      <w:r w:rsidRPr="001F4F9F">
        <w:rPr>
          <w:rFonts w:ascii="Times New Roman" w:hAnsi="Times New Roman"/>
          <w:i/>
          <w:sz w:val="24"/>
          <w:szCs w:val="24"/>
        </w:rPr>
        <w:t>Форма</w:t>
      </w:r>
    </w:p>
    <w:p w:rsidR="001F6482" w:rsidRDefault="001F6482" w:rsidP="007E2FE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Описание заявляемой для участия Модели </w:t>
      </w:r>
      <w:r>
        <w:rPr>
          <w:rStyle w:val="a8"/>
          <w:rFonts w:ascii="Times New Roman" w:hAnsi="Times New Roman"/>
          <w:b/>
          <w:sz w:val="24"/>
          <w:szCs w:val="24"/>
          <w:lang w:eastAsia="ru-RU"/>
        </w:rPr>
        <w:footnoteReference w:id="1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2965"/>
      </w:tblGrid>
      <w:tr w:rsidR="001F6482" w:rsidTr="007E2FEE">
        <w:trPr>
          <w:trHeight w:val="333"/>
        </w:trPr>
        <w:tc>
          <w:tcPr>
            <w:tcW w:w="6374" w:type="dxa"/>
            <w:gridSpan w:val="2"/>
          </w:tcPr>
          <w:p w:rsidR="001F6482" w:rsidRPr="00A17CB3" w:rsidRDefault="001F6482" w:rsidP="007E2FEE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Банк </w:t>
            </w:r>
          </w:p>
        </w:tc>
        <w:tc>
          <w:tcPr>
            <w:tcW w:w="2965" w:type="dxa"/>
          </w:tcPr>
          <w:p w:rsidR="001F6482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Tr="009C5CA2">
        <w:tc>
          <w:tcPr>
            <w:tcW w:w="6374" w:type="dxa"/>
            <w:gridSpan w:val="2"/>
          </w:tcPr>
          <w:p w:rsidR="001F6482" w:rsidRPr="00A17CB3" w:rsidRDefault="001F6482" w:rsidP="007E2FEE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Название Модели</w:t>
            </w:r>
          </w:p>
        </w:tc>
        <w:tc>
          <w:tcPr>
            <w:tcW w:w="2965" w:type="dxa"/>
          </w:tcPr>
          <w:p w:rsidR="001F6482" w:rsidRPr="00972B6D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Дата 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>начала использования</w:t>
            </w: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 Модели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в Кредитном процессе Банка</w:t>
            </w:r>
          </w:p>
        </w:tc>
        <w:tc>
          <w:tcPr>
            <w:tcW w:w="2965" w:type="dxa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Pr="00A17CB3" w:rsidRDefault="001F6482" w:rsidP="00203385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Способ определения параметров и весовых коэффициентов Модели </w:t>
            </w:r>
            <w:r w:rsidRPr="00C45B24">
              <w:rPr>
                <w:rFonts w:ascii="Times New Roman" w:hAnsi="Times New Roman"/>
                <w:i/>
                <w:color w:val="000000" w:themeColor="text1"/>
                <w:szCs w:val="28"/>
              </w:rPr>
              <w:t>(статистический или экспертный)</w:t>
            </w:r>
          </w:p>
        </w:tc>
        <w:tc>
          <w:tcPr>
            <w:tcW w:w="2965" w:type="dxa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Модель построена на статистических данных Банка без использования внешних данных (для статистических моделей) </w:t>
            </w:r>
          </w:p>
          <w:p w:rsidR="001F6482" w:rsidRPr="000771EE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45B24">
              <w:rPr>
                <w:rFonts w:ascii="Times New Roman" w:hAnsi="Times New Roman"/>
                <w:i/>
                <w:color w:val="000000" w:themeColor="text1"/>
                <w:szCs w:val="28"/>
              </w:rPr>
              <w:t>(да/ нет)</w:t>
            </w:r>
          </w:p>
        </w:tc>
        <w:tc>
          <w:tcPr>
            <w:tcW w:w="2965" w:type="dxa"/>
          </w:tcPr>
          <w:p w:rsidR="001F6482" w:rsidRPr="000771EE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Pr="005B66C9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Использованные для построения Модели статистические данные получены на основе анализа сопоставимых Клиентских сегментов и Кредитных продуктов</w:t>
            </w:r>
            <w:r w:rsidRPr="00775E18">
              <w:rPr>
                <w:rFonts w:ascii="Times New Roman" w:hAnsi="Times New Roman"/>
                <w:color w:val="000000" w:themeColor="text1"/>
                <w:szCs w:val="28"/>
              </w:rPr>
              <w:t xml:space="preserve"> (да/нет)</w:t>
            </w:r>
          </w:p>
        </w:tc>
        <w:tc>
          <w:tcPr>
            <w:tcW w:w="2965" w:type="dxa"/>
          </w:tcPr>
          <w:p w:rsidR="001F6482" w:rsidRPr="005B66C9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1511A">
              <w:rPr>
                <w:rFonts w:ascii="Times New Roman" w:hAnsi="Times New Roman"/>
                <w:color w:val="000000" w:themeColor="text1"/>
                <w:szCs w:val="28"/>
              </w:rPr>
              <w:t xml:space="preserve">Правила определения входных параметров Модели (установленные действующим кредитным процессом Банка для заявленных к участию </w:t>
            </w:r>
            <w:proofErr w:type="spellStart"/>
            <w:r w:rsidRPr="00D1511A">
              <w:rPr>
                <w:rFonts w:ascii="Times New Roman" w:hAnsi="Times New Roman"/>
                <w:color w:val="000000" w:themeColor="text1"/>
                <w:szCs w:val="28"/>
              </w:rPr>
              <w:t>Подсегментов</w:t>
            </w:r>
            <w:proofErr w:type="spellEnd"/>
            <w:r w:rsidRPr="00D1511A">
              <w:rPr>
                <w:rFonts w:ascii="Times New Roman" w:hAnsi="Times New Roman"/>
                <w:color w:val="000000" w:themeColor="text1"/>
                <w:szCs w:val="28"/>
              </w:rPr>
              <w:t>) сопоставимы с правилами, которые существовали в период накопления статистики для построения Модели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(для статистических моделей) или были определены экспертами (для экспертных моделей);</w:t>
            </w:r>
          </w:p>
          <w:p w:rsidR="001F6482" w:rsidRPr="000771EE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45B24">
              <w:rPr>
                <w:rFonts w:ascii="Times New Roman" w:hAnsi="Times New Roman"/>
                <w:i/>
                <w:color w:val="000000" w:themeColor="text1"/>
                <w:szCs w:val="28"/>
              </w:rPr>
              <w:t>(да/ нет)</w:t>
            </w:r>
          </w:p>
        </w:tc>
        <w:tc>
          <w:tcPr>
            <w:tcW w:w="2965" w:type="dxa"/>
          </w:tcPr>
          <w:p w:rsidR="001F6482" w:rsidRPr="000771EE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Способ определения годовых вероятностей дефолта Модели </w:t>
            </w:r>
          </w:p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45B24">
              <w:rPr>
                <w:rFonts w:ascii="Times New Roman" w:hAnsi="Times New Roman"/>
                <w:i/>
                <w:color w:val="000000" w:themeColor="text1"/>
                <w:szCs w:val="28"/>
              </w:rPr>
              <w:t>(статистический или экспертный)</w:t>
            </w:r>
            <w:r w:rsidRPr="00C45B2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965" w:type="dxa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Наличие процессов мониторинга эффективности Моделей и их </w:t>
            </w:r>
            <w:proofErr w:type="spellStart"/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>валидации</w:t>
            </w:r>
            <w:proofErr w:type="spellEnd"/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C45B24">
              <w:rPr>
                <w:rFonts w:ascii="Times New Roman" w:hAnsi="Times New Roman"/>
                <w:i/>
                <w:color w:val="000000" w:themeColor="text1"/>
                <w:szCs w:val="28"/>
              </w:rPr>
              <w:t>(да/ нет)</w:t>
            </w:r>
          </w:p>
        </w:tc>
        <w:tc>
          <w:tcPr>
            <w:tcW w:w="2965" w:type="dxa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>Дата последнего пересчета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>/ установления</w:t>
            </w: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 весовых коэффициентов Модели</w:t>
            </w:r>
          </w:p>
        </w:tc>
        <w:tc>
          <w:tcPr>
            <w:tcW w:w="2965" w:type="dxa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>Дата последнего изменения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>/ установления</w:t>
            </w:r>
            <w:r w:rsidRPr="00A17CB3">
              <w:rPr>
                <w:rFonts w:ascii="Times New Roman" w:hAnsi="Times New Roman"/>
                <w:color w:val="000000" w:themeColor="text1"/>
                <w:szCs w:val="28"/>
              </w:rPr>
              <w:t xml:space="preserve"> значений PD</w:t>
            </w:r>
          </w:p>
        </w:tc>
        <w:tc>
          <w:tcPr>
            <w:tcW w:w="2965" w:type="dxa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6374" w:type="dxa"/>
            <w:gridSpan w:val="2"/>
          </w:tcPr>
          <w:p w:rsidR="001F6482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Возможность ручной корректировки рейтинга </w:t>
            </w:r>
          </w:p>
          <w:p w:rsidR="001F6482" w:rsidRPr="00C45B24" w:rsidRDefault="001F6482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C45B24">
              <w:rPr>
                <w:rFonts w:ascii="Times New Roman" w:hAnsi="Times New Roman"/>
                <w:i/>
                <w:color w:val="000000" w:themeColor="text1"/>
                <w:szCs w:val="28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да/ нет, </w:t>
            </w:r>
            <w:r w:rsidRPr="00C45B24">
              <w:rPr>
                <w:rFonts w:ascii="Times New Roman" w:hAnsi="Times New Roman"/>
                <w:i/>
                <w:color w:val="000000" w:themeColor="text1"/>
                <w:szCs w:val="28"/>
              </w:rPr>
              <w:t>количество рейтинговых пунктов)</w:t>
            </w:r>
          </w:p>
        </w:tc>
        <w:tc>
          <w:tcPr>
            <w:tcW w:w="2965" w:type="dxa"/>
          </w:tcPr>
          <w:p w:rsidR="001F6482" w:rsidRPr="00C45B24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9339" w:type="dxa"/>
            <w:gridSpan w:val="3"/>
          </w:tcPr>
          <w:p w:rsidR="007E2FEE" w:rsidRPr="00A17CB3" w:rsidRDefault="001F6482" w:rsidP="007E2FE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Значения PD</w:t>
            </w:r>
          </w:p>
        </w:tc>
      </w:tr>
      <w:tr w:rsidR="001F6482" w:rsidRPr="00895974" w:rsidTr="009C5CA2">
        <w:tc>
          <w:tcPr>
            <w:tcW w:w="4815" w:type="dxa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b/>
                <w:color w:val="000000" w:themeColor="text1"/>
                <w:szCs w:val="28"/>
              </w:rPr>
              <w:t>Буквенное или цифровое обозначение рейтинга</w:t>
            </w:r>
          </w:p>
        </w:tc>
        <w:tc>
          <w:tcPr>
            <w:tcW w:w="4524" w:type="dxa"/>
            <w:gridSpan w:val="2"/>
          </w:tcPr>
          <w:p w:rsidR="001F6482" w:rsidRPr="00A17CB3" w:rsidRDefault="001F6482" w:rsidP="009C5CA2">
            <w:pPr>
              <w:jc w:val="both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A17CB3">
              <w:rPr>
                <w:rFonts w:ascii="Times New Roman" w:hAnsi="Times New Roman"/>
                <w:b/>
                <w:color w:val="000000" w:themeColor="text1"/>
                <w:szCs w:val="28"/>
              </w:rPr>
              <w:t>Годовая вероятность дефолта для данного рейтинга, %</w:t>
            </w:r>
          </w:p>
        </w:tc>
      </w:tr>
      <w:tr w:rsidR="00203385" w:rsidRPr="00895974" w:rsidTr="009C5CA2">
        <w:tc>
          <w:tcPr>
            <w:tcW w:w="4815" w:type="dxa"/>
          </w:tcPr>
          <w:p w:rsidR="00203385" w:rsidRPr="00531570" w:rsidRDefault="00203385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</w:p>
        </w:tc>
        <w:tc>
          <w:tcPr>
            <w:tcW w:w="4524" w:type="dxa"/>
            <w:gridSpan w:val="2"/>
          </w:tcPr>
          <w:p w:rsidR="00203385" w:rsidRPr="00531570" w:rsidRDefault="00203385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03385" w:rsidRPr="00895974" w:rsidTr="009C5CA2">
        <w:tc>
          <w:tcPr>
            <w:tcW w:w="4815" w:type="dxa"/>
          </w:tcPr>
          <w:p w:rsidR="00203385" w:rsidRPr="00531570" w:rsidRDefault="00203385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</w:p>
        </w:tc>
        <w:tc>
          <w:tcPr>
            <w:tcW w:w="4524" w:type="dxa"/>
            <w:gridSpan w:val="2"/>
          </w:tcPr>
          <w:p w:rsidR="00203385" w:rsidRPr="00531570" w:rsidRDefault="00203385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6482" w:rsidRPr="00895974" w:rsidTr="009C5CA2">
        <w:tc>
          <w:tcPr>
            <w:tcW w:w="4815" w:type="dxa"/>
          </w:tcPr>
          <w:p w:rsidR="001F6482" w:rsidRPr="00531570" w:rsidRDefault="001F6482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</w:p>
        </w:tc>
        <w:tc>
          <w:tcPr>
            <w:tcW w:w="4524" w:type="dxa"/>
            <w:gridSpan w:val="2"/>
          </w:tcPr>
          <w:p w:rsidR="001F6482" w:rsidRPr="00531570" w:rsidRDefault="001F648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E2FEE" w:rsidRDefault="007E2FEE" w:rsidP="00203385">
      <w:pPr>
        <w:keepNext/>
        <w:tabs>
          <w:tab w:val="left" w:pos="0"/>
        </w:tabs>
        <w:autoSpaceDE w:val="0"/>
        <w:autoSpaceDN w:val="0"/>
        <w:adjustRightInd w:val="0"/>
        <w:spacing w:after="120"/>
        <w:ind w:right="33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7E8C" w:rsidRDefault="00C87E8C" w:rsidP="00D57A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Уполномоченное лицо Банка:</w:t>
      </w:r>
    </w:p>
    <w:p w:rsidR="00C87E8C" w:rsidRDefault="00C87E8C" w:rsidP="00D57A8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E1321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BE1321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E1321">
        <w:rPr>
          <w:rFonts w:ascii="Times New Roman" w:eastAsia="Times New Roman" w:hAnsi="Times New Roman" w:cs="Times New Roman"/>
          <w:sz w:val="28"/>
          <w:szCs w:val="28"/>
        </w:rPr>
        <w:t>(_________)</w:t>
      </w:r>
    </w:p>
    <w:p w:rsidR="00C87E8C" w:rsidRDefault="00C87E8C" w:rsidP="00D57A83">
      <w:pPr>
        <w:spacing w:line="240" w:lineRule="auto"/>
        <w:ind w:left="708" w:firstLine="708"/>
      </w:pPr>
      <w:r w:rsidRPr="00BE1321">
        <w:rPr>
          <w:rFonts w:ascii="Times New Roman" w:eastAsia="Times New Roman" w:hAnsi="Times New Roman" w:cs="Times New Roman"/>
          <w:sz w:val="20"/>
          <w:szCs w:val="20"/>
        </w:rPr>
        <w:t>должность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BE132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BE1321">
        <w:rPr>
          <w:rFonts w:ascii="Times New Roman" w:eastAsia="Times New Roman" w:hAnsi="Times New Roman" w:cs="Times New Roman"/>
          <w:sz w:val="20"/>
          <w:szCs w:val="20"/>
        </w:rPr>
        <w:t>ФИО</w:t>
      </w:r>
      <w:r w:rsidRPr="00BE132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 w:rsidRPr="00BE1321">
        <w:rPr>
          <w:rFonts w:ascii="Times New Roman" w:eastAsia="Times New Roman" w:hAnsi="Times New Roman" w:cs="Times New Roman"/>
          <w:sz w:val="20"/>
          <w:szCs w:val="20"/>
        </w:rPr>
        <w:t>подпись</w:t>
      </w:r>
    </w:p>
    <w:p w:rsidR="001F6482" w:rsidRPr="00972B6D" w:rsidRDefault="001F6482" w:rsidP="00D57A83">
      <w:pPr>
        <w:keepNext/>
        <w:tabs>
          <w:tab w:val="left" w:pos="0"/>
        </w:tabs>
        <w:autoSpaceDE w:val="0"/>
        <w:autoSpaceDN w:val="0"/>
        <w:adjustRightInd w:val="0"/>
        <w:spacing w:after="120" w:line="240" w:lineRule="auto"/>
        <w:ind w:left="-46" w:right="33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72B6D">
        <w:rPr>
          <w:rFonts w:ascii="Times New Roman" w:eastAsia="Times New Roman" w:hAnsi="Times New Roman"/>
          <w:sz w:val="24"/>
          <w:szCs w:val="24"/>
          <w:lang w:eastAsia="ru-RU"/>
        </w:rPr>
        <w:t xml:space="preserve"> «____» _______________20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7E2FEE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7E2FE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C87E8C" w:rsidRDefault="00C87E8C" w:rsidP="00D57A83">
      <w:pPr>
        <w:keepNext/>
        <w:tabs>
          <w:tab w:val="left" w:pos="0"/>
        </w:tabs>
        <w:autoSpaceDE w:val="0"/>
        <w:autoSpaceDN w:val="0"/>
        <w:adjustRightInd w:val="0"/>
        <w:spacing w:after="120" w:line="240" w:lineRule="auto"/>
        <w:ind w:left="-46" w:right="33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6482" w:rsidRDefault="00C87E8C" w:rsidP="00D57A83">
      <w:pPr>
        <w:keepNext/>
        <w:tabs>
          <w:tab w:val="left" w:pos="0"/>
        </w:tabs>
        <w:autoSpaceDE w:val="0"/>
        <w:autoSpaceDN w:val="0"/>
        <w:adjustRightInd w:val="0"/>
        <w:spacing w:after="120" w:line="240" w:lineRule="auto"/>
        <w:ind w:left="-46" w:right="339"/>
        <w:contextualSpacing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972B6D">
        <w:rPr>
          <w:rFonts w:ascii="Times New Roman" w:eastAsia="Times New Roman" w:hAnsi="Times New Roman"/>
          <w:sz w:val="24"/>
          <w:szCs w:val="24"/>
          <w:lang w:eastAsia="ru-RU"/>
        </w:rPr>
        <w:t xml:space="preserve">М.П.                            </w:t>
      </w:r>
    </w:p>
    <w:sectPr w:rsidR="001F6482" w:rsidSect="00D57A83">
      <w:headerReference w:type="default" r:id="rId7"/>
      <w:headerReference w:type="first" r:id="rId8"/>
      <w:type w:val="continuous"/>
      <w:pgSz w:w="11906" w:h="16838"/>
      <w:pgMar w:top="567" w:right="851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AE4" w:rsidRDefault="00007AE4" w:rsidP="001F6482">
      <w:pPr>
        <w:spacing w:after="0" w:line="240" w:lineRule="auto"/>
      </w:pPr>
      <w:r>
        <w:separator/>
      </w:r>
    </w:p>
  </w:endnote>
  <w:endnote w:type="continuationSeparator" w:id="0">
    <w:p w:rsidR="00007AE4" w:rsidRDefault="00007AE4" w:rsidP="001F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AE4" w:rsidRDefault="00007AE4" w:rsidP="001F6482">
      <w:pPr>
        <w:spacing w:after="0" w:line="240" w:lineRule="auto"/>
      </w:pPr>
      <w:r>
        <w:separator/>
      </w:r>
    </w:p>
  </w:footnote>
  <w:footnote w:type="continuationSeparator" w:id="0">
    <w:p w:rsidR="00007AE4" w:rsidRDefault="00007AE4" w:rsidP="001F6482">
      <w:pPr>
        <w:spacing w:after="0" w:line="240" w:lineRule="auto"/>
      </w:pPr>
      <w:r>
        <w:continuationSeparator/>
      </w:r>
    </w:p>
  </w:footnote>
  <w:footnote w:id="1">
    <w:p w:rsidR="001F6482" w:rsidRPr="00776AB6" w:rsidRDefault="001F6482" w:rsidP="001F6482">
      <w:pPr>
        <w:pStyle w:val="a6"/>
      </w:pPr>
      <w:r w:rsidRPr="00776AB6">
        <w:rPr>
          <w:rStyle w:val="a8"/>
        </w:rPr>
        <w:footnoteRef/>
      </w:r>
      <w:r w:rsidRPr="00776AB6">
        <w:t xml:space="preserve"> Заполняется отдельно для каждой из указанных в Описании </w:t>
      </w:r>
      <w:proofErr w:type="spellStart"/>
      <w:r w:rsidRPr="00776AB6">
        <w:t>подсегментов</w:t>
      </w:r>
      <w:proofErr w:type="spellEnd"/>
      <w:r w:rsidRPr="00776AB6">
        <w:t xml:space="preserve"> Моделей</w:t>
      </w:r>
      <w:r w:rsidR="007E2FE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204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E0C20" w:rsidRDefault="009D791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B34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34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B34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7A8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B34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2E0C20" w:rsidRPr="00FB34DC" w:rsidRDefault="00007AE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Pr="00C52D45" w:rsidRDefault="00007AE4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82"/>
    <w:rsid w:val="00007AE4"/>
    <w:rsid w:val="000660BD"/>
    <w:rsid w:val="001F4F9F"/>
    <w:rsid w:val="001F6482"/>
    <w:rsid w:val="00203385"/>
    <w:rsid w:val="0050686F"/>
    <w:rsid w:val="005166A0"/>
    <w:rsid w:val="00563130"/>
    <w:rsid w:val="00647E98"/>
    <w:rsid w:val="00690E09"/>
    <w:rsid w:val="007B67C9"/>
    <w:rsid w:val="007D6D5D"/>
    <w:rsid w:val="007E2FEE"/>
    <w:rsid w:val="008E6BEB"/>
    <w:rsid w:val="008F37FD"/>
    <w:rsid w:val="00944C77"/>
    <w:rsid w:val="009D0C53"/>
    <w:rsid w:val="009D7911"/>
    <w:rsid w:val="009F661A"/>
    <w:rsid w:val="00A445C2"/>
    <w:rsid w:val="00A80ABB"/>
    <w:rsid w:val="00A83C56"/>
    <w:rsid w:val="00AB3C0E"/>
    <w:rsid w:val="00B30A5B"/>
    <w:rsid w:val="00BE0779"/>
    <w:rsid w:val="00C87E8C"/>
    <w:rsid w:val="00D57A83"/>
    <w:rsid w:val="00DA485E"/>
    <w:rsid w:val="00E018CA"/>
    <w:rsid w:val="00EC2CA2"/>
    <w:rsid w:val="00FD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1BA25-9757-4D0B-BA52-955F5602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6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6482"/>
  </w:style>
  <w:style w:type="paragraph" w:styleId="a6">
    <w:name w:val="footnote text"/>
    <w:basedOn w:val="a"/>
    <w:link w:val="a7"/>
    <w:rsid w:val="001F64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1F64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1F6482"/>
    <w:rPr>
      <w:sz w:val="20"/>
      <w:vertAlign w:val="superscript"/>
    </w:rPr>
  </w:style>
  <w:style w:type="paragraph" w:styleId="a9">
    <w:name w:val="footer"/>
    <w:basedOn w:val="a"/>
    <w:link w:val="aa"/>
    <w:uiPriority w:val="99"/>
    <w:unhideWhenUsed/>
    <w:rsid w:val="007E2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FEE"/>
  </w:style>
  <w:style w:type="paragraph" w:styleId="ab">
    <w:name w:val="Balloon Text"/>
    <w:basedOn w:val="a"/>
    <w:link w:val="ac"/>
    <w:uiPriority w:val="99"/>
    <w:semiHidden/>
    <w:unhideWhenUsed/>
    <w:rsid w:val="00690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0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A8864-EB29-4A12-A81E-047EC4C2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Шибкова Наталья Владимировна</dc:creator>
  <cp:keywords/>
  <dc:description/>
  <cp:lastModifiedBy>Карнаухова Наталья Павловна</cp:lastModifiedBy>
  <cp:revision>9</cp:revision>
  <cp:lastPrinted>2019-02-06T15:08:00Z</cp:lastPrinted>
  <dcterms:created xsi:type="dcterms:W3CDTF">2021-08-10T13:41:00Z</dcterms:created>
  <dcterms:modified xsi:type="dcterms:W3CDTF">2021-08-26T15:12:00Z</dcterms:modified>
</cp:coreProperties>
</file>