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01" w:rsidRDefault="00F87B0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87B01" w:rsidRDefault="00F87B01">
      <w:pPr>
        <w:pStyle w:val="ConsPlusNormal"/>
        <w:jc w:val="both"/>
        <w:outlineLvl w:val="0"/>
      </w:pPr>
    </w:p>
    <w:p w:rsidR="00F87B01" w:rsidRDefault="00F87B01">
      <w:pPr>
        <w:pStyle w:val="ConsPlusNormal"/>
        <w:jc w:val="both"/>
        <w:outlineLvl w:val="0"/>
      </w:pPr>
      <w:r>
        <w:t>Зарегистрировано в Минюсте России 9 октября 2020 г. N 60322</w:t>
      </w:r>
    </w:p>
    <w:p w:rsidR="00F87B01" w:rsidRDefault="00F87B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87B01" w:rsidRDefault="00F87B01">
      <w:pPr>
        <w:pStyle w:val="ConsPlusTitle"/>
        <w:jc w:val="both"/>
      </w:pPr>
    </w:p>
    <w:p w:rsidR="00F87B01" w:rsidRDefault="00F87B01">
      <w:pPr>
        <w:pStyle w:val="ConsPlusTitle"/>
        <w:jc w:val="center"/>
      </w:pPr>
      <w:r>
        <w:t>ПРИКАЗ</w:t>
      </w:r>
    </w:p>
    <w:p w:rsidR="00F87B01" w:rsidRDefault="00F87B01">
      <w:pPr>
        <w:pStyle w:val="ConsPlusTitle"/>
        <w:jc w:val="center"/>
      </w:pPr>
      <w:r>
        <w:t>от 10 сентября 2020 г. N 587</w:t>
      </w:r>
    </w:p>
    <w:p w:rsidR="00F87B01" w:rsidRDefault="00F87B01">
      <w:pPr>
        <w:pStyle w:val="ConsPlusTitle"/>
        <w:jc w:val="both"/>
      </w:pPr>
    </w:p>
    <w:p w:rsidR="00F87B01" w:rsidRDefault="00F87B01">
      <w:pPr>
        <w:pStyle w:val="ConsPlusTitle"/>
        <w:jc w:val="center"/>
      </w:pPr>
      <w:r>
        <w:t>ОБ УТВЕРЖДЕНИИ ПОРЯДКА</w:t>
      </w:r>
    </w:p>
    <w:p w:rsidR="00F87B01" w:rsidRDefault="00F87B01">
      <w:pPr>
        <w:pStyle w:val="ConsPlusTitle"/>
        <w:jc w:val="center"/>
      </w:pPr>
      <w:r>
        <w:t>ПРОВЕДЕНИЯ АКЦИОНЕРНЫМ ОБЩЕСТВОМ "ФЕДЕРАЛЬНАЯ КОРПОРАЦИЯ</w:t>
      </w:r>
    </w:p>
    <w:p w:rsidR="00F87B01" w:rsidRDefault="00F87B01">
      <w:pPr>
        <w:pStyle w:val="ConsPlusTitle"/>
        <w:jc w:val="center"/>
      </w:pPr>
      <w:r>
        <w:t>ПО РАЗВИТИЮ МАЛОГО И СРЕДНЕГО ПРЕДПРИНИМАТЕЛЬСТВА"</w:t>
      </w:r>
    </w:p>
    <w:p w:rsidR="00F87B01" w:rsidRDefault="00F87B01">
      <w:pPr>
        <w:pStyle w:val="ConsPlusTitle"/>
        <w:jc w:val="center"/>
      </w:pPr>
      <w:r>
        <w:t>ЕЖЕГОДНОГО РАНЖИРОВАНИЯ ФОНДОВ СОДЕЙСТВИЯ КРЕДИТОВАНИЮ</w:t>
      </w:r>
    </w:p>
    <w:p w:rsidR="00F87B01" w:rsidRDefault="00F87B01">
      <w:pPr>
        <w:pStyle w:val="ConsPlusTitle"/>
        <w:jc w:val="center"/>
      </w:pPr>
      <w:r>
        <w:t>(ГАРАНТИЙНЫХ ФОНДОВ, ФОНДОВ ПОРУЧИТЕЛЬСТВ) С ПРИСВОЕНИЕМ</w:t>
      </w:r>
    </w:p>
    <w:p w:rsidR="00F87B01" w:rsidRDefault="00F87B01">
      <w:pPr>
        <w:pStyle w:val="ConsPlusTitle"/>
        <w:jc w:val="center"/>
      </w:pPr>
      <w:r>
        <w:t>РАНГА, ХАРАКТЕРИЗУЮЩЕГО СТЕПЕНЬ ФИНАНСОВОЙ УСТОЙЧИВОСТИ</w:t>
      </w:r>
    </w:p>
    <w:p w:rsidR="00F87B01" w:rsidRDefault="00F87B01">
      <w:pPr>
        <w:pStyle w:val="ConsPlusTitle"/>
        <w:jc w:val="center"/>
      </w:pPr>
      <w:r>
        <w:t>И ЭФФЕКТИВНОСТЬ ДЕЯТЕЛЬНОСТИ ФОНДОВ СОДЕЙСТВИЯ КРЕДИТОВАНИЮ</w:t>
      </w:r>
    </w:p>
    <w:p w:rsidR="00F87B01" w:rsidRDefault="00F87B01">
      <w:pPr>
        <w:pStyle w:val="ConsPlusTitle"/>
        <w:jc w:val="center"/>
      </w:pPr>
      <w:r>
        <w:t>(ГАРАНТИЙНЫХ ФОНДОВ, ФОНДОВ ПОРУЧИТЕЛЬСТВ) КАК УЧАСТНИКОВ</w:t>
      </w:r>
    </w:p>
    <w:p w:rsidR="00F87B01" w:rsidRDefault="00F87B01">
      <w:pPr>
        <w:pStyle w:val="ConsPlusTitle"/>
        <w:jc w:val="center"/>
      </w:pPr>
      <w:r>
        <w:t>НАЦИОНАЛЬНОЙ ГАРАНТИЙНОЙ СИСТЕМЫ ПОДДЕРЖКИ МАЛОГО</w:t>
      </w:r>
    </w:p>
    <w:p w:rsidR="00F87B01" w:rsidRDefault="00F87B01">
      <w:pPr>
        <w:pStyle w:val="ConsPlusTitle"/>
        <w:jc w:val="center"/>
      </w:pPr>
      <w:r>
        <w:t>И СРЕДНЕГО ПРЕДПРИНИМАТЕЛЬСТВА</w:t>
      </w:r>
    </w:p>
    <w:p w:rsidR="00F87B01" w:rsidRDefault="00F87B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7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12.07.2022 </w:t>
            </w:r>
            <w:hyperlink r:id="rId5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6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</w:tr>
    </w:tbl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9 статьи 15.2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2020, N 24, ст. 3743),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"О Министерстве экономического развития Российской Федерации" (Собрание законодательства Российской Федерации, 2008, N 24, ст. 2867; 2020, N 27, ст. 4216), приказываю: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проведения акционерным обществом "Федеральная корпорация по развитию малого и среднего предпринимательства" ежегодного ранжирования фондов содействия кредитованию (гарантийных фондов, фондов поручительств) с присвоением ранга, характеризующего степень финансовой устойчивости и эффективность деятельности фондов содействия кредитованию (гарантийных фондов, фондов поручительств) как участников национальной гарантийной системы поддержки малого и среднего предпринимательства.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</w:pPr>
      <w:r>
        <w:t>Министр</w:t>
      </w:r>
    </w:p>
    <w:p w:rsidR="00F87B01" w:rsidRDefault="00F87B01">
      <w:pPr>
        <w:pStyle w:val="ConsPlusNormal"/>
        <w:jc w:val="right"/>
      </w:pPr>
      <w:r>
        <w:t>М.Г.РЕШЕТНИКОВ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  <w:outlineLvl w:val="0"/>
      </w:pPr>
      <w:r>
        <w:t>Утвержден</w:t>
      </w:r>
    </w:p>
    <w:p w:rsidR="00F87B01" w:rsidRDefault="00F87B01">
      <w:pPr>
        <w:pStyle w:val="ConsPlusNormal"/>
        <w:jc w:val="right"/>
      </w:pPr>
      <w:r>
        <w:t>приказом Минэкономразвития России</w:t>
      </w:r>
    </w:p>
    <w:p w:rsidR="00F87B01" w:rsidRDefault="00F87B01">
      <w:pPr>
        <w:pStyle w:val="ConsPlusNormal"/>
        <w:jc w:val="right"/>
      </w:pPr>
      <w:r>
        <w:t>от 10 сентября N 587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Title"/>
        <w:jc w:val="center"/>
      </w:pPr>
      <w:bookmarkStart w:id="0" w:name="P38"/>
      <w:bookmarkEnd w:id="0"/>
      <w:r>
        <w:lastRenderedPageBreak/>
        <w:t>ПОРЯДОК</w:t>
      </w:r>
    </w:p>
    <w:p w:rsidR="00F87B01" w:rsidRDefault="00F87B01">
      <w:pPr>
        <w:pStyle w:val="ConsPlusTitle"/>
        <w:jc w:val="center"/>
      </w:pPr>
      <w:r>
        <w:t>ПРОВЕДЕНИЯ АКЦИОНЕРНЫМ ОБЩЕСТВОМ "ФЕДЕРАЛЬНАЯ КОРПОРАЦИЯ</w:t>
      </w:r>
    </w:p>
    <w:p w:rsidR="00F87B01" w:rsidRDefault="00F87B01">
      <w:pPr>
        <w:pStyle w:val="ConsPlusTitle"/>
        <w:jc w:val="center"/>
      </w:pPr>
      <w:r>
        <w:t>ПО РАЗВИТИЮ МАЛОГО И СРЕДНЕГО ПРЕДПРИНИМАТЕЛЬСТВА"</w:t>
      </w:r>
    </w:p>
    <w:p w:rsidR="00F87B01" w:rsidRDefault="00F87B01">
      <w:pPr>
        <w:pStyle w:val="ConsPlusTitle"/>
        <w:jc w:val="center"/>
      </w:pPr>
      <w:r>
        <w:t>ЕЖЕГОДНОГО РАНЖИРОВАНИЯ ФОНДОВ СОДЕЙСТВИЯ КРЕДИТОВАНИЮ</w:t>
      </w:r>
    </w:p>
    <w:p w:rsidR="00F87B01" w:rsidRDefault="00F87B01">
      <w:pPr>
        <w:pStyle w:val="ConsPlusTitle"/>
        <w:jc w:val="center"/>
      </w:pPr>
      <w:r>
        <w:t>(ГАРАНТИЙНЫХ ФОНДОВ, ФОНДОВ ПОРУЧИТЕЛЬСТВ) С ПРИСВОЕНИЕМ</w:t>
      </w:r>
    </w:p>
    <w:p w:rsidR="00F87B01" w:rsidRDefault="00F87B01">
      <w:pPr>
        <w:pStyle w:val="ConsPlusTitle"/>
        <w:jc w:val="center"/>
      </w:pPr>
      <w:r>
        <w:t>РАНГА, ХАРАКТЕРИЗУЮЩЕГО СТЕПЕНЬ ФИНАНСОВОЙ УСТОЙЧИВОСТИ</w:t>
      </w:r>
    </w:p>
    <w:p w:rsidR="00F87B01" w:rsidRDefault="00F87B01">
      <w:pPr>
        <w:pStyle w:val="ConsPlusTitle"/>
        <w:jc w:val="center"/>
      </w:pPr>
      <w:r>
        <w:t>И ЭФФЕКТИВНОСТЬ ДЕЯТЕЛЬНОСТИ ФОНДОВ СОДЕЙСТВИЯ КРЕДИТОВАНИЮ</w:t>
      </w:r>
    </w:p>
    <w:p w:rsidR="00F87B01" w:rsidRDefault="00F87B01">
      <w:pPr>
        <w:pStyle w:val="ConsPlusTitle"/>
        <w:jc w:val="center"/>
      </w:pPr>
      <w:r>
        <w:t>(ГАРАНТИЙНЫХ ФОНДОВ, ФОНДОВ ПОРУЧИТЕЛЬСТВ) КАК УЧАСТНИКОВ</w:t>
      </w:r>
    </w:p>
    <w:p w:rsidR="00F87B01" w:rsidRDefault="00F87B01">
      <w:pPr>
        <w:pStyle w:val="ConsPlusTitle"/>
        <w:jc w:val="center"/>
      </w:pPr>
      <w:r>
        <w:t>НАЦИОНАЛЬНОЙ ГАРАНТИЙНОЙ СИСТЕМЫ ПОДДЕРЖКИ МАЛОГО</w:t>
      </w:r>
    </w:p>
    <w:p w:rsidR="00F87B01" w:rsidRDefault="00F87B01">
      <w:pPr>
        <w:pStyle w:val="ConsPlusTitle"/>
        <w:jc w:val="center"/>
      </w:pPr>
      <w:r>
        <w:t>И СРЕДНЕГО ПРЕДПРИНИМАТЕЛЬСТВА</w:t>
      </w:r>
    </w:p>
    <w:p w:rsidR="00F87B01" w:rsidRDefault="00F87B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7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12.07.2022 </w:t>
            </w:r>
            <w:hyperlink r:id="rId9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10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</w:tr>
    </w:tbl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ind w:firstLine="540"/>
        <w:jc w:val="both"/>
      </w:pPr>
      <w:r>
        <w:t>1. Настоящий Порядок определяет правила проведения акционерным обществом "Федеральная корпорация по развитию малого и среднего предпринимательства" (далее - АО "Корпорация "МСП") ежегодного ранжирования фондов содействия кредитованию (гарантийных фондов, фондов поручительств) (далее соответственно - ранжирование, РГО) с присвоением ранга, характеризующего степень финансовой устойчивости и эффективность деятельности РГО как участников национальной гарантийной системы поддержки малого и среднего предпринимательства (далее - НГС).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1" w:name="P53"/>
      <w:bookmarkEnd w:id="1"/>
      <w:r>
        <w:t>2. Ранжирование проводит АО "Корпорация "МСП" ежегодно с 1 мая по 1 августа соответствующего календарного года. Отчетным периодом ранжирования является календарный год, предшествующий году, в котором проводится ранжирование (далее - отчетный период).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3. В целях проведения ранжирования АО "Корпорация "МСП" ежегодно в срок до 30 января утверждает и размещает на своем официальном сайте в информационно-телекоммуникационной сети "Интернет" календарный план проведения ранжирования.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4. Ранжирование проводится с использованием автоматизированной информационной системы "Мониторинг МСП" (</w:t>
      </w:r>
      <w:hyperlink r:id="rId11">
        <w:r>
          <w:rPr>
            <w:color w:val="0000FF"/>
          </w:rPr>
          <w:t>http://monitoring.corpmsp.ru</w:t>
        </w:r>
      </w:hyperlink>
      <w:r>
        <w:t>).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5. АО "Корпорация "МСП" проводит ранжирование на основании информации, полученной по формам и в составе, которые предусмотрены </w:t>
      </w:r>
      <w:hyperlink r:id="rId12">
        <w:r>
          <w:rPr>
            <w:color w:val="0000FF"/>
          </w:rPr>
          <w:t>приложением</w:t>
        </w:r>
      </w:hyperlink>
      <w:r>
        <w:t xml:space="preserve"> к Порядку, срокам и формам представления информации, предусмотренной пунктом 5 Правил проведения акционерным обществом "Федеральная корпорация по развитию малого и среднего предпринимательства"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предпринимательства, а также составу такой информации, утвержденным приказом Минэкономразвития России от 19 февраля 2020 г. N 77 (зарегистрирован в Минюсте России 16 апреля 2020 г., регистрационный N 58119) (отчет фонда содействия кредитованию (гарантийного фонда, фонда поручительств) в целях ранжирования с присвоением ранга) (далее - отчет).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6. В случае недостаточности у АО "Корпорация "МСП" информации и документов, необходимых для проведения ранжирования, АО "Корпорация "МСП" по согласованию с Минэкономразвития России в пределах срока ранжирования, предусмотренного </w:t>
      </w:r>
      <w:hyperlink w:anchor="P53">
        <w:r>
          <w:rPr>
            <w:color w:val="0000FF"/>
          </w:rPr>
          <w:t>пунктом 2</w:t>
        </w:r>
      </w:hyperlink>
      <w:r>
        <w:t xml:space="preserve"> настоящего Порядка, вправе запросить у РГО дополнительные информацию и документы.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lastRenderedPageBreak/>
        <w:t xml:space="preserve">7. Ранговые шкалы финансовой устойчивости РГО и эффективности деятельности РГО представляются в виде системы ранговых категорий в целях классификации уровней ранга (рекомендуемый образец приведен в </w:t>
      </w:r>
      <w:hyperlink w:anchor="P111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8. Ранжирование включает: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1) анализ АО "Корпорация "МСП" информации, указанной в </w:t>
      </w:r>
      <w:hyperlink w:anchor="P56">
        <w:r>
          <w:rPr>
            <w:color w:val="0000FF"/>
          </w:rPr>
          <w:t>пункте 5</w:t>
        </w:r>
      </w:hyperlink>
      <w:r>
        <w:t xml:space="preserve"> настоящего Порядка, а также информации и документов, представленных РГО в соответствии с </w:t>
      </w:r>
      <w:hyperlink w:anchor="P57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2) оценку фактора неоднородности среды функционирования РГО, в том числе уровень кредитного риска в субъекте Российской Федерации, в котором осуществляет свою деятельность РГО, определяемый как отношение общего объема просроченной задолженности по кредитам субъектов малого и среднего предпринимательства (далее - субъекты МСП) в соответствующем субъекте Российской Федерации к общему объему кредитного портфеля субъектов МСП в таком субъекте Российской Федерации на основании данных Центрального банка Российской Федерации, публикуемых на его официальном сайте в информационно-телекоммуникационной сети "Интернет" в соответствии с </w:t>
      </w:r>
      <w:hyperlink r:id="rId13">
        <w:r>
          <w:rPr>
            <w:color w:val="0000FF"/>
          </w:rPr>
          <w:t>пунктом 18 статьи 4</w:t>
        </w:r>
      </w:hyperlink>
      <w:r>
        <w:t xml:space="preserve"> Федерального закона от 10 июля 2002 г. N 86-ФЗ "О Центральном банке Российской Федерации (Банке России)" (Собрание законодательства Российской Федерации, 2002, N 28, ст. 2790; 2018, N 32, ст. 5115), по состоянию на конец отчетного периода;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3) сравнительный анализ РГО по отношению друг к другу по показателям, характеризующим степень финансовой устойчивости, а также эффективность деятельности РГО относительно средней результативности по всем РГО, являющимся участниками НГС, и определение итоговых баллов по показателям, а также по объединенным группам показателей в зависимости от диапазонов значений показателей (рекомендуемый образец приведен в </w:t>
      </w:r>
      <w:hyperlink w:anchor="P207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Приведенные в </w:t>
      </w:r>
      <w:hyperlink w:anchor="P211">
        <w:r>
          <w:rPr>
            <w:color w:val="0000FF"/>
          </w:rPr>
          <w:t>таблице 1</w:t>
        </w:r>
      </w:hyperlink>
      <w:r>
        <w:t xml:space="preserve"> и </w:t>
      </w:r>
      <w:hyperlink w:anchor="P388">
        <w:r>
          <w:rPr>
            <w:color w:val="0000FF"/>
          </w:rPr>
          <w:t>таблице 2</w:t>
        </w:r>
      </w:hyperlink>
      <w:r>
        <w:t xml:space="preserve"> приложения N 2 к настоящему Порядку показатели возрастающего типа упорядочиваются по возрастанию, убывающего - по убыванию.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В зависимости от порядка определения балльных диапазонов показателей, приведенных в </w:t>
      </w:r>
      <w:hyperlink w:anchor="P211">
        <w:r>
          <w:rPr>
            <w:color w:val="0000FF"/>
          </w:rPr>
          <w:t>таблице 1</w:t>
        </w:r>
      </w:hyperlink>
      <w:r>
        <w:t xml:space="preserve"> и </w:t>
      </w:r>
      <w:hyperlink w:anchor="P388">
        <w:r>
          <w:rPr>
            <w:color w:val="0000FF"/>
          </w:rPr>
          <w:t>таблице 2</w:t>
        </w:r>
      </w:hyperlink>
      <w:r>
        <w:t xml:space="preserve"> приложения N 2 к настоящему Порядку, выделяются следующие признаки показателей: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- фиксированный показатель, значение которого определяется в соответствии с описанием расчета показателя в </w:t>
      </w:r>
      <w:hyperlink w:anchor="P207">
        <w:r>
          <w:rPr>
            <w:color w:val="0000FF"/>
          </w:rPr>
          <w:t>приложении N 2</w:t>
        </w:r>
      </w:hyperlink>
      <w:r>
        <w:t xml:space="preserve"> к настоящему Порядку;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- показатель с квартильным распределением (группируются на четыре квартиля). Первый квартиль формируется как 25% первых значений, четвертый квартиль формируется как 25% последних значений. Пороговому значению (Кв1) присваивается крайнее правое значение показателя в первом квартиле. Пороговому значению (Кв2) присваивается крайнее правое значение показателя во втором квартиле. Пороговому значению (Кв3) присваивается крайнее правое значение показателя в третьем квартиле. Пороговому значению (Кв4) присваивается крайнее правое значение показателя в четвертом квартиле;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4) присвоение РГО рангов, характеризующих степень финансовой устойчивости и эффективность деятельности РГО, в соответствии с уровнями, достигнутыми РГО в диапазонах значений ранговых категорий, предусмотренных ранговой шкалой финансовой устойчивости РГО и ранговой шкалой эффективности деятельности РГО (рекомендуемый образец приведен в приложении N 1 к настоящему Порядку);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5) оформление результатов ранжирования посредством составления АО "Корпорация "МСП" сводного рэнкинга с указанием в нем присвоенных рангов РГО и отдельных ключевых показателей деятельности РГО за отчетный период (рекомендуемый образец приведен в </w:t>
      </w:r>
      <w:hyperlink w:anchor="P554">
        <w:r>
          <w:rPr>
            <w:color w:val="0000FF"/>
          </w:rPr>
          <w:t>приложении N 3</w:t>
        </w:r>
      </w:hyperlink>
      <w:r>
        <w:t xml:space="preserve"> к </w:t>
      </w:r>
      <w:r>
        <w:lastRenderedPageBreak/>
        <w:t>настоящему Порядку).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9. Ранг по каждому блоку показателей ("Финансовая устойчивость РГО" и "Эффективность деятельности РГО"), включаемый в итоговый ранг, присваивается РГО на основе значений интегральных баллов, рассчитываемых по формуле: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center"/>
      </w:pPr>
      <w:r>
        <w:rPr>
          <w:noProof/>
          <w:position w:val="-17"/>
        </w:rPr>
        <w:drawing>
          <wp:inline distT="0" distB="0" distL="0" distR="0">
            <wp:extent cx="2179320" cy="3670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ind w:firstLine="540"/>
        <w:jc w:val="both"/>
      </w:pPr>
      <w:r>
        <w:t>где: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R - интегральный балл по блоку "Финансовая устойчивость РГО" или блоку "Эффективность деятельности РГО";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i - количество групп в блоках "Финансовая устойчивость РГО" или "Эффективность деятельности РГО" (от 1 до n);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j - количество показателей в соответствующей группе блоков "Финансовая устойчивость РГО" или "Эффективность деятельности РГО" (от 1 до m);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Kij - значение балла по показателю i группы показателей j;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Wij - вес показателя i группы показателей j;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Wi - вес i группы показателей.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10. АО "Корпорация "МСП" обеспечивает проведение процедуры присвоения ранга в соответствии с настоящим Порядком.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>11. По результатам проведения ранжирования АО "Корпорация "МСП" вправе обратиться в Минэкономразвития России с предложениями по разработке комплекса мероприятий для РГО в целях повышения их финансовой устойчивости и эффективности деятельности.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12. Сводный рэнкинг, указанный в </w:t>
      </w:r>
      <w:hyperlink w:anchor="P68">
        <w:r>
          <w:rPr>
            <w:color w:val="0000FF"/>
          </w:rPr>
          <w:t>подпункте 5 пункта 8</w:t>
        </w:r>
      </w:hyperlink>
      <w:r>
        <w:t xml:space="preserve"> настоящего Порядка, утверждается уполномоченным органом АО "Корпорация "МСП", скрепляется печатью АО "Корпорация "МСП" (при наличии) и в течение трех рабочих дней после дня его утверждения направляется в Минэкономразвития России для учета при оказании РГО финансовой поддержки в соответствии с </w:t>
      </w:r>
      <w:hyperlink r:id="rId15">
        <w:r>
          <w:rPr>
            <w:color w:val="0000FF"/>
          </w:rPr>
          <w:t>частью 3 статьи 17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2020, N 14, ст. 2013), а также размещается на официальном сайте АО "Корпорация "МСП" в информационно-телекоммуникационной сети "Интернет".</w:t>
      </w:r>
    </w:p>
    <w:p w:rsidR="00F87B01" w:rsidRDefault="00F87B0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Минэкономразвития России от 29.05.2024 N 323)</w:t>
      </w:r>
    </w:p>
    <w:p w:rsidR="00F87B01" w:rsidRDefault="00F87B01">
      <w:pPr>
        <w:pStyle w:val="ConsPlusNormal"/>
        <w:spacing w:before="220"/>
        <w:ind w:firstLine="540"/>
        <w:jc w:val="both"/>
      </w:pPr>
      <w:r>
        <w:t xml:space="preserve">13. АО "Корпорация "МСП" по согласованию с Минэкономразвития России не проводит ранжирование РГО в случае, если РГО не соответствует требованиям к РГО и их деятельности, установленным </w:t>
      </w:r>
      <w:hyperlink r:id="rId17">
        <w:r>
          <w:rPr>
            <w:color w:val="0000FF"/>
          </w:rPr>
          <w:t>частями 1</w:t>
        </w:r>
      </w:hyperlink>
      <w:r>
        <w:t xml:space="preserve"> - </w:t>
      </w:r>
      <w:hyperlink r:id="rId18">
        <w:r>
          <w:rPr>
            <w:color w:val="0000FF"/>
          </w:rPr>
          <w:t>4 статьи 15.2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и или </w:t>
      </w:r>
      <w:hyperlink r:id="rId19">
        <w:r>
          <w:rPr>
            <w:color w:val="0000FF"/>
          </w:rPr>
          <w:t>приказом</w:t>
        </w:r>
      </w:hyperlink>
      <w:r>
        <w:t xml:space="preserve"> Минэкономразвития России от 28 ноября 2016 г. N 763 "Об утверждении требований к фондам содействия кредитованию (гарантийным фондам, фондам поручительств) и их деятельности" (зарегистрирован в Минюсте России 30 декабря 2016 г., регистрационный N 45078), с изменениями, внесенными приказами Минэкономразвития России от 6 декабря 2017 г. N 651 (зарегистрирован в Минюсте России 27 декабря 2017 г., регистрационный N 49470), от 10 декабря 2018 г. N 694 (зарегистрирован в Минюсте России 17 января 2019 г., регистрационный N 53390), от 14 марта 2019 г. N 125 (зарегистрирован в Минюсте России 7 июня 2019 г., регистрационный N 54891) и от 1 июня 2020 г. N 323 (зарегистрирован в Минюсте России 6 июля 2020 г., регистрационный N 58846).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  <w:outlineLvl w:val="1"/>
      </w:pPr>
      <w:r>
        <w:t>Приложение N 1</w:t>
      </w:r>
    </w:p>
    <w:p w:rsidR="00F87B01" w:rsidRDefault="00F87B01">
      <w:pPr>
        <w:pStyle w:val="ConsPlusNormal"/>
        <w:jc w:val="right"/>
      </w:pPr>
      <w:r>
        <w:t>к Порядку проведения акционерным</w:t>
      </w:r>
    </w:p>
    <w:p w:rsidR="00F87B01" w:rsidRDefault="00F87B01">
      <w:pPr>
        <w:pStyle w:val="ConsPlusNormal"/>
        <w:jc w:val="right"/>
      </w:pPr>
      <w:r>
        <w:t>обществом "Федеральная корпорация</w:t>
      </w:r>
    </w:p>
    <w:p w:rsidR="00F87B01" w:rsidRDefault="00F87B01">
      <w:pPr>
        <w:pStyle w:val="ConsPlusNormal"/>
        <w:jc w:val="right"/>
      </w:pPr>
      <w:r>
        <w:t>по развитию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предпринимательства" ежегодного</w:t>
      </w:r>
    </w:p>
    <w:p w:rsidR="00F87B01" w:rsidRDefault="00F87B01">
      <w:pPr>
        <w:pStyle w:val="ConsPlusNormal"/>
        <w:jc w:val="right"/>
      </w:pPr>
      <w:r>
        <w:t>ранжирования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с присвоением</w:t>
      </w:r>
    </w:p>
    <w:p w:rsidR="00F87B01" w:rsidRDefault="00F87B01">
      <w:pPr>
        <w:pStyle w:val="ConsPlusNormal"/>
        <w:jc w:val="right"/>
      </w:pPr>
      <w:r>
        <w:t>ранга, характеризующего степень</w:t>
      </w:r>
    </w:p>
    <w:p w:rsidR="00F87B01" w:rsidRDefault="00F87B01">
      <w:pPr>
        <w:pStyle w:val="ConsPlusNormal"/>
        <w:jc w:val="right"/>
      </w:pPr>
      <w:r>
        <w:t>финансовой устойчивости и эффективность</w:t>
      </w:r>
    </w:p>
    <w:p w:rsidR="00F87B01" w:rsidRDefault="00F87B01">
      <w:pPr>
        <w:pStyle w:val="ConsPlusNormal"/>
        <w:jc w:val="right"/>
      </w:pPr>
      <w:r>
        <w:t>деятельности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как участников</w:t>
      </w:r>
    </w:p>
    <w:p w:rsidR="00F87B01" w:rsidRDefault="00F87B01">
      <w:pPr>
        <w:pStyle w:val="ConsPlusNormal"/>
        <w:jc w:val="right"/>
      </w:pPr>
      <w:r>
        <w:t>национальной гарантийной системы</w:t>
      </w:r>
    </w:p>
    <w:p w:rsidR="00F87B01" w:rsidRDefault="00F87B01">
      <w:pPr>
        <w:pStyle w:val="ConsPlusNormal"/>
        <w:jc w:val="right"/>
      </w:pPr>
      <w:r>
        <w:t>поддержки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предпринимательства, утвержденному</w:t>
      </w:r>
    </w:p>
    <w:p w:rsidR="00F87B01" w:rsidRDefault="00F87B01">
      <w:pPr>
        <w:pStyle w:val="ConsPlusNormal"/>
        <w:jc w:val="right"/>
      </w:pPr>
      <w:r>
        <w:t>приказом Минэкономразвития России</w:t>
      </w:r>
    </w:p>
    <w:p w:rsidR="00F87B01" w:rsidRDefault="00F87B01">
      <w:pPr>
        <w:pStyle w:val="ConsPlusNormal"/>
        <w:jc w:val="right"/>
      </w:pPr>
      <w:r>
        <w:t>от 10.09.2020 N 587</w:t>
      </w:r>
    </w:p>
    <w:p w:rsidR="00F87B01" w:rsidRDefault="00F87B01">
      <w:pPr>
        <w:pStyle w:val="ConsPlusNormal"/>
        <w:jc w:val="right"/>
      </w:pPr>
    </w:p>
    <w:p w:rsidR="00F87B01" w:rsidRDefault="00F87B01">
      <w:pPr>
        <w:pStyle w:val="ConsPlusNormal"/>
        <w:jc w:val="right"/>
      </w:pPr>
      <w:r>
        <w:t>Рекомендуемый образец</w:t>
      </w:r>
    </w:p>
    <w:p w:rsidR="00F87B01" w:rsidRDefault="00F87B01">
      <w:pPr>
        <w:pStyle w:val="ConsPlusNormal"/>
        <w:jc w:val="right"/>
      </w:pPr>
    </w:p>
    <w:p w:rsidR="00F87B01" w:rsidRDefault="00F87B01">
      <w:pPr>
        <w:pStyle w:val="ConsPlusNormal"/>
        <w:jc w:val="center"/>
      </w:pPr>
      <w:bookmarkStart w:id="5" w:name="P111"/>
      <w:bookmarkEnd w:id="5"/>
      <w:r>
        <w:t>Ранговые шкалы</w:t>
      </w:r>
    </w:p>
    <w:p w:rsidR="00F87B01" w:rsidRDefault="00F87B01">
      <w:pPr>
        <w:pStyle w:val="ConsPlusNormal"/>
        <w:jc w:val="center"/>
      </w:pPr>
      <w:r>
        <w:t>финансовой устойчивости и эффективности деятельности фондов</w:t>
      </w:r>
    </w:p>
    <w:p w:rsidR="00F87B01" w:rsidRDefault="00F87B01">
      <w:pPr>
        <w:pStyle w:val="ConsPlusNormal"/>
        <w:jc w:val="center"/>
      </w:pPr>
      <w:r>
        <w:t>содействия кредитованию (гарантийных фондов, фондов</w:t>
      </w:r>
    </w:p>
    <w:p w:rsidR="00F87B01" w:rsidRDefault="00F87B01">
      <w:pPr>
        <w:pStyle w:val="ConsPlusNormal"/>
        <w:jc w:val="center"/>
      </w:pPr>
      <w:r>
        <w:t>поручительств) (далее - РГО)</w:t>
      </w:r>
    </w:p>
    <w:p w:rsidR="00F87B01" w:rsidRDefault="00F87B01">
      <w:pPr>
        <w:pStyle w:val="ConsPlusNormal"/>
        <w:jc w:val="center"/>
      </w:pPr>
    </w:p>
    <w:p w:rsidR="00F87B01" w:rsidRDefault="00F87B01">
      <w:pPr>
        <w:pStyle w:val="ConsPlusNormal"/>
        <w:jc w:val="center"/>
        <w:outlineLvl w:val="2"/>
      </w:pPr>
      <w:r>
        <w:t>1. Ранговая шкала финансовой устойчивости РГО (таблица 1)</w:t>
      </w:r>
    </w:p>
    <w:p w:rsidR="00F87B01" w:rsidRDefault="00F87B0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03"/>
        <w:gridCol w:w="2551"/>
        <w:gridCol w:w="4137"/>
      </w:tblGrid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N</w:t>
            </w:r>
          </w:p>
          <w:p w:rsidR="00F87B01" w:rsidRDefault="00F87B01">
            <w:pPr>
              <w:pStyle w:val="ConsPlusNormal"/>
              <w:jc w:val="center"/>
            </w:pPr>
            <w:r>
              <w:t>столбца/строки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Ранговая категория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Диапазон значений Интегрального балла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center"/>
            </w:pPr>
            <w:r>
              <w:t>Описание ранговой категории финансовой устойчивости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AA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3,625 - 4,000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Финансовая устойчивость РГО оценивается как максимально высокая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3,250 - 3,625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Финансовая устойчивость РГО оценивается на относительно высоком уровне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BB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2,875 - 3,250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Финансовая устойчивость РГО оценивается на среднем уровне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2,200 - 2,875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Финансовая устойчивость РГО оценивается на относительно низком уровне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Менее 2,200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Финансовая устойчивость РГО оценивается на низком уровне</w:t>
            </w:r>
          </w:p>
        </w:tc>
      </w:tr>
    </w:tbl>
    <w:p w:rsidR="00F87B01" w:rsidRDefault="00F87B01">
      <w:pPr>
        <w:pStyle w:val="ConsPlusNormal"/>
        <w:ind w:firstLine="540"/>
        <w:jc w:val="both"/>
      </w:pPr>
    </w:p>
    <w:p w:rsidR="00F87B01" w:rsidRDefault="00F87B01">
      <w:pPr>
        <w:pStyle w:val="ConsPlusNormal"/>
        <w:jc w:val="center"/>
        <w:outlineLvl w:val="2"/>
      </w:pPr>
      <w:r>
        <w:t>2. Ранговая шкала эффективности деятельности РГО</w:t>
      </w:r>
    </w:p>
    <w:p w:rsidR="00F87B01" w:rsidRDefault="00F87B01">
      <w:pPr>
        <w:pStyle w:val="ConsPlusNormal"/>
        <w:jc w:val="center"/>
      </w:pPr>
      <w:r>
        <w:t>(таблица 2)</w:t>
      </w:r>
    </w:p>
    <w:p w:rsidR="00F87B01" w:rsidRDefault="00F87B0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03"/>
        <w:gridCol w:w="2551"/>
        <w:gridCol w:w="4137"/>
      </w:tblGrid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N</w:t>
            </w:r>
          </w:p>
          <w:p w:rsidR="00F87B01" w:rsidRDefault="00F87B01">
            <w:pPr>
              <w:pStyle w:val="ConsPlusNormal"/>
              <w:jc w:val="center"/>
            </w:pPr>
            <w:r>
              <w:t>столбца/строки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Ранговая категория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 xml:space="preserve">Диапазон значений Интегрального балла </w:t>
            </w:r>
            <w:hyperlink w:anchor="P17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center"/>
            </w:pPr>
            <w:r>
              <w:t>Описание ранговой категории эффективности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E+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Гарантийная и операционная деятельность РГО максимально эффективная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Гарантийная и операционная деятельность РГО эффективная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E-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Гарантийная и операционная эффективность РГО находится на низком уровне</w:t>
            </w:r>
          </w:p>
        </w:tc>
      </w:tr>
      <w:tr w:rsidR="00F87B01">
        <w:tc>
          <w:tcPr>
            <w:tcW w:w="1077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F87B01" w:rsidRDefault="00F87B01">
            <w:pPr>
              <w:pStyle w:val="ConsPlusNormal"/>
              <w:jc w:val="center"/>
            </w:pPr>
            <w:r>
              <w:t>NE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4137" w:type="dxa"/>
          </w:tcPr>
          <w:p w:rsidR="00F87B01" w:rsidRDefault="00F87B01">
            <w:pPr>
              <w:pStyle w:val="ConsPlusNormal"/>
              <w:jc w:val="both"/>
            </w:pPr>
            <w:r>
              <w:t>Гарантийная и операционная деятельность РГО неэффективная</w:t>
            </w:r>
          </w:p>
        </w:tc>
      </w:tr>
    </w:tbl>
    <w:p w:rsidR="00F87B01" w:rsidRDefault="00F87B01">
      <w:pPr>
        <w:pStyle w:val="ConsPlusNormal"/>
        <w:ind w:firstLine="540"/>
        <w:jc w:val="both"/>
      </w:pPr>
    </w:p>
    <w:p w:rsidR="00F87B01" w:rsidRDefault="00F87B01">
      <w:pPr>
        <w:pStyle w:val="ConsPlusNormal"/>
        <w:ind w:firstLine="540"/>
        <w:jc w:val="both"/>
      </w:pPr>
      <w:r>
        <w:t>--------------------------------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6" w:name="P178"/>
      <w:bookmarkEnd w:id="6"/>
      <w:r>
        <w:t>&lt;1&gt; Кв1...Кв4 - квартальное распределение значений интегральных баллов эффективности по всем РГО.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  <w:outlineLvl w:val="1"/>
      </w:pPr>
      <w:r>
        <w:t>Приложение N 2</w:t>
      </w:r>
    </w:p>
    <w:p w:rsidR="00F87B01" w:rsidRDefault="00F87B01">
      <w:pPr>
        <w:pStyle w:val="ConsPlusNormal"/>
        <w:jc w:val="right"/>
      </w:pPr>
      <w:r>
        <w:t>к Порядку проведения акционерным</w:t>
      </w:r>
    </w:p>
    <w:p w:rsidR="00F87B01" w:rsidRDefault="00F87B01">
      <w:pPr>
        <w:pStyle w:val="ConsPlusNormal"/>
        <w:jc w:val="right"/>
      </w:pPr>
      <w:r>
        <w:t>обществом "Федеральная корпорация</w:t>
      </w:r>
    </w:p>
    <w:p w:rsidR="00F87B01" w:rsidRDefault="00F87B01">
      <w:pPr>
        <w:pStyle w:val="ConsPlusNormal"/>
        <w:jc w:val="right"/>
      </w:pPr>
      <w:r>
        <w:t>по развитию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предпринимательства" ежегодного</w:t>
      </w:r>
    </w:p>
    <w:p w:rsidR="00F87B01" w:rsidRDefault="00F87B01">
      <w:pPr>
        <w:pStyle w:val="ConsPlusNormal"/>
        <w:jc w:val="right"/>
      </w:pPr>
      <w:r>
        <w:t>ранжирования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с присвоением</w:t>
      </w:r>
    </w:p>
    <w:p w:rsidR="00F87B01" w:rsidRDefault="00F87B01">
      <w:pPr>
        <w:pStyle w:val="ConsPlusNormal"/>
        <w:jc w:val="right"/>
      </w:pPr>
      <w:r>
        <w:t>ранга, характеризующего степень</w:t>
      </w:r>
    </w:p>
    <w:p w:rsidR="00F87B01" w:rsidRDefault="00F87B01">
      <w:pPr>
        <w:pStyle w:val="ConsPlusNormal"/>
        <w:jc w:val="right"/>
      </w:pPr>
      <w:r>
        <w:t>финансовой устойчивости и эффективность</w:t>
      </w:r>
    </w:p>
    <w:p w:rsidR="00F87B01" w:rsidRDefault="00F87B01">
      <w:pPr>
        <w:pStyle w:val="ConsPlusNormal"/>
        <w:jc w:val="right"/>
      </w:pPr>
      <w:r>
        <w:t>деятельности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как участников</w:t>
      </w:r>
    </w:p>
    <w:p w:rsidR="00F87B01" w:rsidRDefault="00F87B01">
      <w:pPr>
        <w:pStyle w:val="ConsPlusNormal"/>
        <w:jc w:val="right"/>
      </w:pPr>
      <w:r>
        <w:t>национальной гарантийной системы</w:t>
      </w:r>
    </w:p>
    <w:p w:rsidR="00F87B01" w:rsidRDefault="00F87B01">
      <w:pPr>
        <w:pStyle w:val="ConsPlusNormal"/>
        <w:jc w:val="right"/>
      </w:pPr>
      <w:r>
        <w:t>поддержки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предпринимательства, утвержденному</w:t>
      </w:r>
    </w:p>
    <w:p w:rsidR="00F87B01" w:rsidRDefault="00F87B01">
      <w:pPr>
        <w:pStyle w:val="ConsPlusNormal"/>
        <w:jc w:val="right"/>
      </w:pPr>
      <w:r>
        <w:t>приказом Минэкономразвития России</w:t>
      </w:r>
    </w:p>
    <w:p w:rsidR="00F87B01" w:rsidRDefault="00F87B01">
      <w:pPr>
        <w:pStyle w:val="ConsPlusNormal"/>
        <w:jc w:val="right"/>
      </w:pPr>
      <w:r>
        <w:t>от 10.09.2020 N 587</w:t>
      </w:r>
    </w:p>
    <w:p w:rsidR="00F87B01" w:rsidRDefault="00F87B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7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7B01" w:rsidRDefault="00F87B0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12.07.2022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B01" w:rsidRDefault="00F87B01">
            <w:pPr>
              <w:pStyle w:val="ConsPlusNormal"/>
            </w:pPr>
          </w:p>
        </w:tc>
      </w:tr>
    </w:tbl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</w:pPr>
      <w:r>
        <w:t>Рекомендуемый образец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center"/>
      </w:pPr>
      <w:bookmarkStart w:id="7" w:name="P207"/>
      <w:bookmarkEnd w:id="7"/>
      <w:r>
        <w:t>Перечень</w:t>
      </w:r>
    </w:p>
    <w:p w:rsidR="00F87B01" w:rsidRDefault="00F87B01">
      <w:pPr>
        <w:pStyle w:val="ConsPlusNormal"/>
        <w:jc w:val="center"/>
      </w:pPr>
      <w:r>
        <w:t>показателей деятельности фондов содействия кредитованию</w:t>
      </w:r>
    </w:p>
    <w:p w:rsidR="00F87B01" w:rsidRDefault="00F87B01">
      <w:pPr>
        <w:pStyle w:val="ConsPlusNormal"/>
        <w:jc w:val="center"/>
      </w:pPr>
      <w:r>
        <w:t>(гарантийных фондов, фондов поручительств) (далее - РГО)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center"/>
        <w:outlineLvl w:val="2"/>
      </w:pPr>
      <w:bookmarkStart w:id="8" w:name="P211"/>
      <w:bookmarkEnd w:id="8"/>
      <w:r>
        <w:t>1. Оцениваемые показатели по степени</w:t>
      </w:r>
    </w:p>
    <w:p w:rsidR="00F87B01" w:rsidRDefault="00F87B01">
      <w:pPr>
        <w:pStyle w:val="ConsPlusNormal"/>
        <w:jc w:val="center"/>
      </w:pPr>
      <w:r>
        <w:t>финансовой устойчивости РГО (таблица 1)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sectPr w:rsidR="00F87B01" w:rsidSect="000F63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31"/>
        <w:gridCol w:w="994"/>
        <w:gridCol w:w="2211"/>
        <w:gridCol w:w="859"/>
        <w:gridCol w:w="2721"/>
        <w:gridCol w:w="794"/>
        <w:gridCol w:w="1579"/>
        <w:gridCol w:w="869"/>
        <w:gridCol w:w="1008"/>
        <w:gridCol w:w="869"/>
        <w:gridCol w:w="874"/>
      </w:tblGrid>
      <w:tr w:rsidR="00F87B01">
        <w:tc>
          <w:tcPr>
            <w:tcW w:w="62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N строки/столбца</w:t>
            </w:r>
          </w:p>
        </w:tc>
        <w:tc>
          <w:tcPr>
            <w:tcW w:w="153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Наименование группы показателей</w:t>
            </w:r>
          </w:p>
        </w:tc>
        <w:tc>
          <w:tcPr>
            <w:tcW w:w="99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Вес группы</w:t>
            </w:r>
          </w:p>
        </w:tc>
        <w:tc>
          <w:tcPr>
            <w:tcW w:w="221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859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Вес показателя</w:t>
            </w:r>
          </w:p>
        </w:tc>
        <w:tc>
          <w:tcPr>
            <w:tcW w:w="272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Описание расчета показателя</w:t>
            </w:r>
          </w:p>
        </w:tc>
        <w:tc>
          <w:tcPr>
            <w:tcW w:w="79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Тип показателя</w:t>
            </w:r>
          </w:p>
        </w:tc>
        <w:tc>
          <w:tcPr>
            <w:tcW w:w="1579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Порядок определения балльных диапазонов (признак показателей)</w:t>
            </w:r>
          </w:p>
        </w:tc>
        <w:tc>
          <w:tcPr>
            <w:tcW w:w="3620" w:type="dxa"/>
            <w:gridSpan w:val="4"/>
          </w:tcPr>
          <w:p w:rsidR="00F87B01" w:rsidRDefault="00F87B01">
            <w:pPr>
              <w:pStyle w:val="ConsPlusNormal"/>
              <w:jc w:val="center"/>
            </w:pPr>
            <w:r>
              <w:t>Распределение баллов в зависимости от диапазонов значений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859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72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7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79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1 балл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4 балла</w:t>
            </w:r>
          </w:p>
        </w:tc>
      </w:tr>
      <w:tr w:rsidR="00F87B01">
        <w:tc>
          <w:tcPr>
            <w:tcW w:w="624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F87B01" w:rsidRDefault="00F87B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12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Достаточность и управление капиталом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35%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</w:pPr>
            <w:r>
              <w:t>Отношение объема действующего портфеля поручительств (далее - портфель поручительств) к гарантийному капиталу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 xml:space="preserve">Отношение портфеля поручительств к гарантийному капиталу на отчетную дату. При распределении баллов для РГО, получающих средства из бюджетов бюджетной системы Российской Федерации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кредитных договорах, договорах займа, договорах финансовой аренды (лизинга), договорах о предоставлении банковской гарантии и иных договорах, заключенных с субъектами </w:t>
            </w:r>
            <w:r>
              <w:lastRenderedPageBreak/>
              <w:t xml:space="preserve">малого и среднего предпринимательства, в соответствии с </w:t>
            </w:r>
            <w:hyperlink r:id="rId22">
              <w:r>
                <w:rPr>
                  <w:color w:val="0000FF"/>
                </w:rPr>
                <w:t>пунктом 50</w:t>
              </w:r>
            </w:hyperlink>
            <w:r>
      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</w:t>
            </w:r>
            <w:hyperlink w:anchor="P527">
              <w:r>
                <w:rPr>
                  <w:color w:val="0000FF"/>
                </w:rPr>
                <w:t>&lt;1&gt;</w:t>
              </w:r>
            </w:hyperlink>
            <w:r>
              <w:t xml:space="preserve"> (далее - РГО 1), применяются диапазоны значений, </w:t>
            </w:r>
            <w:r>
              <w:lastRenderedPageBreak/>
              <w:t>указанные в скобках.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&gt; 4,00; (&gt; 5,50)</w:t>
            </w:r>
          </w:p>
        </w:tc>
        <w:tc>
          <w:tcPr>
            <w:tcW w:w="1008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[4,00; 3,50); ([5,50; 5,00))</w:t>
            </w:r>
          </w:p>
        </w:tc>
        <w:tc>
          <w:tcPr>
            <w:tcW w:w="86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[3,50; 3,00); ([5,00; 4,50))</w:t>
            </w:r>
          </w:p>
        </w:tc>
        <w:tc>
          <w:tcPr>
            <w:tcW w:w="874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3,00; (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4,50)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</w:pPr>
            <w:r>
              <w:t>Максимальный размер риска на одного клиента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22,5%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по крупнейшему клиенту к гарантийному капиталу на отчетную дату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&gt; Кв</w:t>
            </w:r>
            <w:r>
              <w:rPr>
                <w:vertAlign w:val="subscript"/>
              </w:rPr>
              <w:t>1</w:t>
            </w:r>
          </w:p>
        </w:tc>
        <w:tc>
          <w:tcPr>
            <w:tcW w:w="1008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[Кв</w:t>
            </w:r>
            <w:r>
              <w:rPr>
                <w:vertAlign w:val="subscript"/>
              </w:rPr>
              <w:t>1</w:t>
            </w:r>
            <w:r>
              <w:t>; Кв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86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[Кв</w:t>
            </w:r>
            <w:r>
              <w:rPr>
                <w:vertAlign w:val="subscript"/>
              </w:rPr>
              <w:t>2</w:t>
            </w:r>
            <w:r>
              <w:t>; Кв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874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</w:t>
            </w:r>
            <w:r>
              <w:rPr>
                <w:vertAlign w:val="subscript"/>
              </w:rPr>
              <w:t>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</w:pPr>
            <w:r>
              <w:t>Отношение крупных кредитных рисков к гарантийному капиталу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22,5%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по ТОП-10 крупнейшим клиентам к гарантийному капиталу на отчетную дату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Ликвидность</w:t>
            </w:r>
          </w:p>
        </w:tc>
        <w:tc>
          <w:tcPr>
            <w:tcW w:w="994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Покрытие портфеля поручительств ликвидными активами (среднесрочная ликвидность)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ликвидных активов со сроком до одного года к портфелю поручительств на отчетную дату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&lt; 30%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[30%; 40%)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[40%; 50%)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50%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Управление рисками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</w:pPr>
            <w:r>
              <w:t>Стоимость риска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Среднее значение за весь период деятельности РГО значения вероятности дефолта на ближайшие 12 месяцев, умноженного на ожидаемый уровень потерь при дефолте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Доля выплат в портфеле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 xml:space="preserve">Отношение выплаты в части исполнения обязательств по выданным поручительствам к средней величине портфеля поручительств за </w:t>
            </w:r>
            <w:r>
              <w:lastRenderedPageBreak/>
              <w:t>12 месяцев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Реализованные потери при размещении ликвидных активов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потерь от размещения ликвидных активов к средней величине ликвидных активов за 12 месяцев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0%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0%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Доля поручительств, обеспечивающих кредиты с просроченной задолженностью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и (или) независимых гарантий, обеспечивающих просроченные кредиты со сроком свыше 90 дней, портфелю поручительств на отчетную дату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Рентабельность и финансовая эффективность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</w:pPr>
            <w:r>
              <w:t>Рентабельность гарантийного капитала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чистой прибыли на среднюю величину гарантийного капитала за отчетный период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&lt; 0,0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</w:pPr>
            <w:r>
              <w:t>[0,0; 1,8)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[1,8; 3,6)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3,6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Покрытие выплат доходами от размещения ликвидных активов и предоставления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доходов от предоставления поручительств и полученных процентов по размещению ликвидных активов к выплатам по поручительствам за отчетный период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Доходность размещения ликвидных активов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 xml:space="preserve">Отношение процентов к получению в части ликвидных активов к </w:t>
            </w:r>
            <w:r>
              <w:lastRenderedPageBreak/>
              <w:t>средней величине ликвидных активов за отчетный период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Отношение операционных расходов к операционным доходам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Отношение операционных расходов к операционным доходам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Качественные показатели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5%</w:t>
            </w: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Качество системы риск-менеджмента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50,0%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Является качественным показателем и соответствует количеству положительных ответов на следующие вопросы:</w:t>
            </w:r>
          </w:p>
          <w:p w:rsidR="00F87B01" w:rsidRDefault="00F87B01">
            <w:pPr>
              <w:pStyle w:val="ConsPlusNormal"/>
              <w:jc w:val="both"/>
            </w:pPr>
            <w:r>
              <w:t>а) установлены требования к субъектам малого и среднего предпринимательства (далее - субъекты МСП) = (равный значению) "да" или "нет" (далее по тексту - да/нет);</w:t>
            </w:r>
          </w:p>
          <w:p w:rsidR="00F87B01" w:rsidRDefault="00F87B01">
            <w:pPr>
              <w:pStyle w:val="ConsPlusNormal"/>
              <w:jc w:val="both"/>
            </w:pPr>
            <w:r>
              <w:t>б) наличие порядка включения (исключения) банков из списка партнеров = (равный значению) "да/нет";</w:t>
            </w:r>
          </w:p>
          <w:p w:rsidR="00F87B01" w:rsidRDefault="00F87B01">
            <w:pPr>
              <w:pStyle w:val="ConsPlusNormal"/>
              <w:jc w:val="both"/>
            </w:pPr>
            <w:r>
              <w:t>в) наличие порядка расчета лимитов риска по независимым гарантиям = (равный значению) "да/нет";</w:t>
            </w:r>
          </w:p>
          <w:p w:rsidR="00F87B01" w:rsidRDefault="00F87B01">
            <w:pPr>
              <w:pStyle w:val="ConsPlusNormal"/>
              <w:jc w:val="both"/>
            </w:pPr>
            <w:r>
              <w:t xml:space="preserve">г) наличие регламента </w:t>
            </w:r>
            <w:r>
              <w:lastRenderedPageBreak/>
              <w:t>взыскания проблемной задолженности = (равный значению) "да/нет";</w:t>
            </w:r>
          </w:p>
          <w:p w:rsidR="00F87B01" w:rsidRDefault="00F87B01">
            <w:pPr>
              <w:pStyle w:val="ConsPlusNormal"/>
              <w:jc w:val="both"/>
            </w:pPr>
            <w:r>
              <w:t>д) независимость риск-подразделения (наличие подразделения и (или) сотрудника, осуществляющего в РГО анализ кредитных рисков) = (равный значению) "да/нет";</w:t>
            </w:r>
          </w:p>
          <w:p w:rsidR="00F87B01" w:rsidRDefault="00F87B01">
            <w:pPr>
              <w:pStyle w:val="ConsPlusNormal"/>
              <w:jc w:val="both"/>
            </w:pPr>
            <w:r>
              <w:t>е) автоматизация принятия решений риск-подразделения (наличие "ИТ систем" и автоматизированных решений для оценки рисков) = (равный значению) "да/нет"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Качественный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&lt; 2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[2,4)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[4,6)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6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211" w:type="dxa"/>
          </w:tcPr>
          <w:p w:rsidR="00F87B01" w:rsidRDefault="00F87B01">
            <w:pPr>
              <w:pStyle w:val="ConsPlusNormal"/>
              <w:jc w:val="both"/>
            </w:pPr>
            <w:r>
              <w:t>Отсутствие иных видов деятельности, кроме выдачи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50,0%</w:t>
            </w:r>
          </w:p>
        </w:tc>
        <w:tc>
          <w:tcPr>
            <w:tcW w:w="2721" w:type="dxa"/>
          </w:tcPr>
          <w:p w:rsidR="00F87B01" w:rsidRDefault="00F87B01">
            <w:pPr>
              <w:pStyle w:val="ConsPlusNormal"/>
            </w:pPr>
            <w:r>
              <w:t>Является качественным показателем и соответствует количеству положительных ответов (контрольное значение - "да") на вопрос:</w:t>
            </w:r>
          </w:p>
          <w:p w:rsidR="00F87B01" w:rsidRDefault="00F87B01">
            <w:pPr>
              <w:pStyle w:val="ConsPlusNormal"/>
            </w:pPr>
            <w:r>
              <w:t>наличие или отсутствие иных видов деятельности = да/нет.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Качественный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Да</w:t>
            </w:r>
          </w:p>
        </w:tc>
      </w:tr>
    </w:tbl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center"/>
        <w:outlineLvl w:val="2"/>
      </w:pPr>
      <w:bookmarkStart w:id="9" w:name="P388"/>
      <w:bookmarkEnd w:id="9"/>
      <w:r>
        <w:t>2. Оцениваемые показатели по эффективности деятельности РГО</w:t>
      </w:r>
    </w:p>
    <w:p w:rsidR="00F87B01" w:rsidRDefault="00F87B01">
      <w:pPr>
        <w:pStyle w:val="ConsPlusNormal"/>
        <w:jc w:val="center"/>
      </w:pPr>
      <w:r>
        <w:t>(таблица 2)</w:t>
      </w:r>
    </w:p>
    <w:p w:rsidR="00F87B01" w:rsidRDefault="00F87B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31"/>
        <w:gridCol w:w="994"/>
        <w:gridCol w:w="1531"/>
        <w:gridCol w:w="859"/>
        <w:gridCol w:w="2551"/>
        <w:gridCol w:w="794"/>
        <w:gridCol w:w="1579"/>
        <w:gridCol w:w="869"/>
        <w:gridCol w:w="1008"/>
        <w:gridCol w:w="869"/>
        <w:gridCol w:w="874"/>
      </w:tblGrid>
      <w:tr w:rsidR="00F87B01">
        <w:tc>
          <w:tcPr>
            <w:tcW w:w="62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N строки/столбца</w:t>
            </w:r>
          </w:p>
        </w:tc>
        <w:tc>
          <w:tcPr>
            <w:tcW w:w="153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Наименование группы показателей</w:t>
            </w:r>
          </w:p>
        </w:tc>
        <w:tc>
          <w:tcPr>
            <w:tcW w:w="99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Вес группы</w:t>
            </w:r>
          </w:p>
        </w:tc>
        <w:tc>
          <w:tcPr>
            <w:tcW w:w="153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859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Вес показателя</w:t>
            </w:r>
          </w:p>
        </w:tc>
        <w:tc>
          <w:tcPr>
            <w:tcW w:w="255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Описание расчета показателя</w:t>
            </w:r>
          </w:p>
        </w:tc>
        <w:tc>
          <w:tcPr>
            <w:tcW w:w="794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Тип показателя</w:t>
            </w:r>
          </w:p>
        </w:tc>
        <w:tc>
          <w:tcPr>
            <w:tcW w:w="1579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Порядок определения балльных диапазонов (признак показателей)</w:t>
            </w:r>
          </w:p>
        </w:tc>
        <w:tc>
          <w:tcPr>
            <w:tcW w:w="3620" w:type="dxa"/>
            <w:gridSpan w:val="4"/>
          </w:tcPr>
          <w:p w:rsidR="00F87B01" w:rsidRDefault="00F87B01">
            <w:pPr>
              <w:pStyle w:val="ConsPlusNormal"/>
              <w:jc w:val="center"/>
            </w:pPr>
            <w:r>
              <w:t>Распределение баллов в зависимости от диапазонов значений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859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255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7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79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1 балл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4 балла</w:t>
            </w:r>
          </w:p>
        </w:tc>
      </w:tr>
      <w:tr w:rsidR="00F87B01">
        <w:tc>
          <w:tcPr>
            <w:tcW w:w="624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F87B01" w:rsidRDefault="00F87B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12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Эффективность гарантийной и операционной деятельности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80%</w:t>
            </w: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к гарантийному капиталу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к гарантийному капиталу на отчетную дату. При распределении баллов для РГО 1 применяются диапазоны значений, указанные в скобках.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&lt; 0,5; (&lt; 2,00)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[0,5; 1,0); ([2,00; 2,50))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[1,0; 1,5); ([2,50; 3,00))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1,5; (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3,00)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Доля рынка по портфелю поручительств в денежном выражении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Отношение портфеля поручительств к кредитному портфелю (в том числе просроченная часть), по субъектам МСП в субъекте Российской Федерации на отчетную дату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 (с учетом уровня кредитного риска в субъекте Российской Федерации)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Сбалансированность портфеля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 xml:space="preserve">Сумма квадратов отношений портфеля поручительств микропредприятий, малых предприятий, средних предприятий к </w:t>
            </w:r>
            <w:r>
              <w:lastRenderedPageBreak/>
              <w:t>общему портфелю поручительств на конец отчетного периода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Покрытие субъектов МСП поручительствами РГО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Отношение количества уникальных клиентов (субъектов МСП) на отчетную дату</w:t>
            </w:r>
          </w:p>
          <w:p w:rsidR="00F87B01" w:rsidRDefault="00F87B01">
            <w:pPr>
              <w:pStyle w:val="ConsPlusNormal"/>
            </w:pPr>
            <w:r>
              <w:t>к количеству субъектов МСП в субъекте Российской Федерации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 (с учетом уровня кредитного риска в субъекте Российской Федерации)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Доходность размещения ликвидных активов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Отношение процентов к получению в части ликвидных активов к средней величине ликвидных активов за отчетный период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 (с учетом размера гарантийного капитала)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proofErr w:type="gramStart"/>
            <w:r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Отношение операционных расходов к портфелю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15%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Отношение операционных расходов, связанных с осуществлением гарантийной деятельности, к средней величине портфеля поручительств за год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t>Убывающий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Квартильное распределение (с учетом размера гарантийного капитала)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&gt; Кв1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 xml:space="preserve">Среднее количество выданных поручительств </w:t>
            </w:r>
            <w:r>
              <w:lastRenderedPageBreak/>
              <w:t>на 1 (одного) сотрудника РГО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10%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 xml:space="preserve">Отношение выданных гарантий и поручительств к количеству сотрудников РГО, </w:t>
            </w:r>
            <w:r>
              <w:lastRenderedPageBreak/>
              <w:t>осуществляющих гарантийную деятельность, за отчетный период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Возрастающий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 xml:space="preserve">Квартильное распределение (с учетом размера </w:t>
            </w:r>
            <w:r>
              <w:lastRenderedPageBreak/>
              <w:t>гарантийного капитала)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proofErr w:type="gramStart"/>
            <w:r>
              <w:lastRenderedPageBreak/>
              <w:t>&lt; Кв</w:t>
            </w:r>
            <w:proofErr w:type="gramEnd"/>
            <w:r>
              <w:t>1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[Кв1; Кв2)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[Кв2; Кв3)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36525" cy="16764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Кв3</w:t>
            </w:r>
          </w:p>
        </w:tc>
      </w:tr>
      <w:tr w:rsidR="00F87B01">
        <w:tc>
          <w:tcPr>
            <w:tcW w:w="62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Качественные показатели</w:t>
            </w:r>
          </w:p>
        </w:tc>
        <w:tc>
          <w:tcPr>
            <w:tcW w:w="994" w:type="dxa"/>
            <w:vMerge w:val="restart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20%</w:t>
            </w:r>
          </w:p>
        </w:tc>
        <w:tc>
          <w:tcPr>
            <w:tcW w:w="1531" w:type="dxa"/>
          </w:tcPr>
          <w:p w:rsidR="00F87B01" w:rsidRDefault="00F87B01">
            <w:pPr>
              <w:pStyle w:val="ConsPlusNormal"/>
            </w:pPr>
            <w:r>
              <w:t>Качество стратегии развития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50%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Является качественным показателем и соответствует количеству положительных ответов на следующие вопросы:</w:t>
            </w:r>
          </w:p>
          <w:p w:rsidR="00F87B01" w:rsidRDefault="00F87B01">
            <w:pPr>
              <w:pStyle w:val="ConsPlusNormal"/>
            </w:pPr>
            <w:r>
              <w:t>а) соответствие стратегии развития текущему состоянию экономики (актуальность) (на конец отчетного периода)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б) соответствие стратегии развития общим целям национальной гарантийной системы поддержки малого и среднего предпринимательства (на конец отчетного периода)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в) срок стратегии развития составляет не менее 3-х лет (на конец отчетного периода)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 xml:space="preserve">г) наличие в стратегии </w:t>
            </w:r>
            <w:r>
              <w:lastRenderedPageBreak/>
              <w:t>развития количественных целей на каждый год (на конец отчетного периода)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д) наличие в стратегии развития мероприятий по достижению целей стратегии (на конец отчетного периода)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е) формирование ежегодного отчета о степени реализации стратегии (на конец отчетного периода) = (равный значению) "да/нет".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Качественный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&lt; 2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[2; 4)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[4; 6)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= 6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  <w:jc w:val="both"/>
            </w:pPr>
            <w:r>
              <w:t>Качество системы риск-менеджмента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>Является качественным показателем и соответствует количеству положительных ответов на следующие вопросы:</w:t>
            </w:r>
          </w:p>
          <w:p w:rsidR="00F87B01" w:rsidRDefault="00F87B01">
            <w:pPr>
              <w:pStyle w:val="ConsPlusNormal"/>
            </w:pPr>
            <w:r>
              <w:t>а) установлены требования к субъектам МСП = (равный значению) "да/нет";</w:t>
            </w:r>
          </w:p>
          <w:p w:rsidR="00F87B01" w:rsidRDefault="00F87B01">
            <w:pPr>
              <w:pStyle w:val="ConsPlusNormal"/>
            </w:pPr>
            <w:r>
              <w:t xml:space="preserve">б) наличие порядка включения (исключения) банков из списка партнеров = (равный </w:t>
            </w:r>
            <w:r>
              <w:lastRenderedPageBreak/>
              <w:t>значению) "да/нет";</w:t>
            </w:r>
          </w:p>
          <w:p w:rsidR="00F87B01" w:rsidRDefault="00F87B01">
            <w:pPr>
              <w:pStyle w:val="ConsPlusNormal"/>
            </w:pPr>
            <w:r>
              <w:t>в) наличие порядка расчета лимитов риска по независимым гарантиям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г) наличие регламента взыскания проблемной задолженности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д) независимость риск-подразделения (наличие подразделения и (или) сотрудника, осуществляющего в РГО анализ кредитных рисков) = (равный значению) "да/нет";</w:t>
            </w:r>
          </w:p>
          <w:p w:rsidR="00F87B01" w:rsidRDefault="00F87B01">
            <w:pPr>
              <w:pStyle w:val="ConsPlusNormal"/>
            </w:pPr>
            <w:r>
              <w:t>е) автоматизация принятия решений риск-подразделения (наличие ИТ-систем и автоматизированных решений для оценки рисков) = (равный значению) "да/нет"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Качественный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&lt; 2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[2; 4)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[4; 6)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= 6</w:t>
            </w:r>
          </w:p>
        </w:tc>
      </w:tr>
      <w:tr w:rsidR="00F87B01">
        <w:tc>
          <w:tcPr>
            <w:tcW w:w="62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994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531" w:type="dxa"/>
          </w:tcPr>
          <w:p w:rsidR="00F87B01" w:rsidRDefault="00F87B01">
            <w:pPr>
              <w:pStyle w:val="ConsPlusNormal"/>
              <w:jc w:val="both"/>
            </w:pPr>
            <w:r>
              <w:t>Отсутствие иных видов деятельности, кроме выдачи поручительств</w:t>
            </w:r>
          </w:p>
        </w:tc>
        <w:tc>
          <w:tcPr>
            <w:tcW w:w="859" w:type="dxa"/>
            <w:vAlign w:val="center"/>
          </w:tcPr>
          <w:p w:rsidR="00F87B01" w:rsidRDefault="00F87B01">
            <w:pPr>
              <w:pStyle w:val="ConsPlusNormal"/>
              <w:jc w:val="center"/>
            </w:pPr>
            <w:r>
              <w:t>25%</w:t>
            </w:r>
          </w:p>
        </w:tc>
        <w:tc>
          <w:tcPr>
            <w:tcW w:w="2551" w:type="dxa"/>
          </w:tcPr>
          <w:p w:rsidR="00F87B01" w:rsidRDefault="00F87B01">
            <w:pPr>
              <w:pStyle w:val="ConsPlusNormal"/>
            </w:pPr>
            <w:r>
              <w:t xml:space="preserve">Является качественным показателем и соответствует ответу на вопрос: наличие или отсутствие иных видов деятельности, кроме </w:t>
            </w:r>
            <w:r>
              <w:lastRenderedPageBreak/>
              <w:t>выдачи гарантий и поручительств</w:t>
            </w:r>
          </w:p>
        </w:tc>
        <w:tc>
          <w:tcPr>
            <w:tcW w:w="794" w:type="dxa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Качественный</w:t>
            </w:r>
          </w:p>
        </w:tc>
        <w:tc>
          <w:tcPr>
            <w:tcW w:w="1579" w:type="dxa"/>
          </w:tcPr>
          <w:p w:rsidR="00F87B01" w:rsidRDefault="00F87B01">
            <w:pPr>
              <w:pStyle w:val="ConsPlusNormal"/>
              <w:jc w:val="center"/>
            </w:pPr>
            <w:r>
              <w:t>Фиксированный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9" w:type="dxa"/>
          </w:tcPr>
          <w:p w:rsidR="00F87B01" w:rsidRDefault="00F87B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F87B01" w:rsidRDefault="00F87B01">
            <w:pPr>
              <w:pStyle w:val="ConsPlusNormal"/>
              <w:jc w:val="center"/>
            </w:pPr>
            <w:r>
              <w:t>Да</w:t>
            </w:r>
          </w:p>
        </w:tc>
      </w:tr>
    </w:tbl>
    <w:p w:rsidR="00F87B01" w:rsidRDefault="00F87B01">
      <w:pPr>
        <w:pStyle w:val="ConsPlusNormal"/>
        <w:sectPr w:rsidR="00F87B0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87B01" w:rsidRDefault="00F87B01">
      <w:pPr>
        <w:pStyle w:val="ConsPlusNormal"/>
        <w:ind w:firstLine="540"/>
        <w:jc w:val="both"/>
      </w:pPr>
    </w:p>
    <w:p w:rsidR="00F87B01" w:rsidRDefault="00F87B01">
      <w:pPr>
        <w:pStyle w:val="ConsPlusNormal"/>
        <w:ind w:firstLine="540"/>
        <w:jc w:val="both"/>
      </w:pPr>
      <w:r>
        <w:t>--------------------------------</w:t>
      </w:r>
    </w:p>
    <w:p w:rsidR="00F87B01" w:rsidRDefault="00F87B01">
      <w:pPr>
        <w:pStyle w:val="ConsPlusNormal"/>
        <w:spacing w:before="220"/>
        <w:ind w:firstLine="540"/>
        <w:jc w:val="both"/>
      </w:pPr>
      <w:bookmarkStart w:id="10" w:name="P527"/>
      <w:bookmarkEnd w:id="10"/>
      <w:r>
        <w:t>&lt;1&gt; Собрание законодательства Российской Федерации, 2014, N 18, ст. 2162; 2020, N 52, ст. 8806; 2021, N 48, ст. 8079.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  <w:outlineLvl w:val="1"/>
      </w:pPr>
      <w:r>
        <w:t>Приложение N 3</w:t>
      </w:r>
    </w:p>
    <w:p w:rsidR="00F87B01" w:rsidRDefault="00F87B01">
      <w:pPr>
        <w:pStyle w:val="ConsPlusNormal"/>
        <w:jc w:val="right"/>
      </w:pPr>
      <w:r>
        <w:t>к Порядку проведения акционерным</w:t>
      </w:r>
    </w:p>
    <w:p w:rsidR="00F87B01" w:rsidRDefault="00F87B01">
      <w:pPr>
        <w:pStyle w:val="ConsPlusNormal"/>
        <w:jc w:val="right"/>
      </w:pPr>
      <w:r>
        <w:t>обществом "Федеральная корпорация</w:t>
      </w:r>
    </w:p>
    <w:p w:rsidR="00F87B01" w:rsidRDefault="00F87B01">
      <w:pPr>
        <w:pStyle w:val="ConsPlusNormal"/>
        <w:jc w:val="right"/>
      </w:pPr>
      <w:r>
        <w:t>по развитию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предпринимательства" ежегодного</w:t>
      </w:r>
    </w:p>
    <w:p w:rsidR="00F87B01" w:rsidRDefault="00F87B01">
      <w:pPr>
        <w:pStyle w:val="ConsPlusNormal"/>
        <w:jc w:val="right"/>
      </w:pPr>
      <w:r>
        <w:t>ранжирования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с присвоением</w:t>
      </w:r>
    </w:p>
    <w:p w:rsidR="00F87B01" w:rsidRDefault="00F87B01">
      <w:pPr>
        <w:pStyle w:val="ConsPlusNormal"/>
        <w:jc w:val="right"/>
      </w:pPr>
      <w:r>
        <w:t>ранга, характеризующего степень</w:t>
      </w:r>
    </w:p>
    <w:p w:rsidR="00F87B01" w:rsidRDefault="00F87B01">
      <w:pPr>
        <w:pStyle w:val="ConsPlusNormal"/>
        <w:jc w:val="right"/>
      </w:pPr>
      <w:r>
        <w:t>финансовой устойчивости и эффективность</w:t>
      </w:r>
    </w:p>
    <w:p w:rsidR="00F87B01" w:rsidRDefault="00F87B01">
      <w:pPr>
        <w:pStyle w:val="ConsPlusNormal"/>
        <w:jc w:val="right"/>
      </w:pPr>
      <w:r>
        <w:t>деятельности фондов содействия</w:t>
      </w:r>
    </w:p>
    <w:p w:rsidR="00F87B01" w:rsidRDefault="00F87B01">
      <w:pPr>
        <w:pStyle w:val="ConsPlusNormal"/>
        <w:jc w:val="right"/>
      </w:pPr>
      <w:r>
        <w:t>кредитованию (гарантийных фондов,</w:t>
      </w:r>
    </w:p>
    <w:p w:rsidR="00F87B01" w:rsidRDefault="00F87B01">
      <w:pPr>
        <w:pStyle w:val="ConsPlusNormal"/>
        <w:jc w:val="right"/>
      </w:pPr>
      <w:r>
        <w:t>фондов поручительств) как участников</w:t>
      </w:r>
    </w:p>
    <w:p w:rsidR="00F87B01" w:rsidRDefault="00F87B01">
      <w:pPr>
        <w:pStyle w:val="ConsPlusNormal"/>
        <w:jc w:val="right"/>
      </w:pPr>
      <w:r>
        <w:t>национальной гарантийной системы</w:t>
      </w:r>
    </w:p>
    <w:p w:rsidR="00F87B01" w:rsidRDefault="00F87B01">
      <w:pPr>
        <w:pStyle w:val="ConsPlusNormal"/>
        <w:jc w:val="right"/>
      </w:pPr>
      <w:r>
        <w:t>поддержки малого и среднего</w:t>
      </w:r>
    </w:p>
    <w:p w:rsidR="00F87B01" w:rsidRDefault="00F87B01">
      <w:pPr>
        <w:pStyle w:val="ConsPlusNormal"/>
        <w:jc w:val="right"/>
      </w:pPr>
      <w:r>
        <w:t>предпринимательства, утвержденному</w:t>
      </w:r>
    </w:p>
    <w:p w:rsidR="00F87B01" w:rsidRDefault="00F87B01">
      <w:pPr>
        <w:pStyle w:val="ConsPlusNormal"/>
        <w:jc w:val="right"/>
      </w:pPr>
      <w:r>
        <w:t>приказом Минэкономразвития России</w:t>
      </w:r>
    </w:p>
    <w:p w:rsidR="00F87B01" w:rsidRDefault="00F87B01">
      <w:pPr>
        <w:pStyle w:val="ConsPlusNormal"/>
        <w:jc w:val="right"/>
      </w:pPr>
      <w:r>
        <w:t>от 10.09.2020 N 587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right"/>
      </w:pPr>
      <w:r>
        <w:t>Рекомендуемый образец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center"/>
      </w:pPr>
      <w:bookmarkStart w:id="11" w:name="P554"/>
      <w:bookmarkEnd w:id="11"/>
      <w:r>
        <w:t>Сводный рэнкинг</w:t>
      </w:r>
    </w:p>
    <w:p w:rsidR="00F87B01" w:rsidRDefault="00F87B01">
      <w:pPr>
        <w:pStyle w:val="ConsPlusNormal"/>
        <w:jc w:val="center"/>
      </w:pPr>
      <w:r>
        <w:t>по результатам проведения ранжирования фондов содействия</w:t>
      </w:r>
    </w:p>
    <w:p w:rsidR="00F87B01" w:rsidRDefault="00F87B01">
      <w:pPr>
        <w:pStyle w:val="ConsPlusNormal"/>
        <w:jc w:val="center"/>
      </w:pPr>
      <w:r>
        <w:t>кредитованию (гарантийных фондов, фондов поручительств)</w:t>
      </w:r>
    </w:p>
    <w:p w:rsidR="00F87B01" w:rsidRDefault="00F87B01">
      <w:pPr>
        <w:pStyle w:val="ConsPlusNormal"/>
        <w:jc w:val="center"/>
      </w:pPr>
      <w:r>
        <w:t>(далее - РГО) с указанием отдельных ключевых показателей</w:t>
      </w:r>
    </w:p>
    <w:p w:rsidR="00F87B01" w:rsidRDefault="00F87B01">
      <w:pPr>
        <w:pStyle w:val="ConsPlusNormal"/>
        <w:jc w:val="center"/>
      </w:pPr>
      <w:r>
        <w:t>деятельности за _____ (отчетный период)</w:t>
      </w: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sectPr w:rsidR="00F87B0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"/>
        <w:gridCol w:w="1152"/>
        <w:gridCol w:w="1406"/>
        <w:gridCol w:w="1191"/>
        <w:gridCol w:w="850"/>
        <w:gridCol w:w="1134"/>
        <w:gridCol w:w="1247"/>
        <w:gridCol w:w="950"/>
        <w:gridCol w:w="1020"/>
        <w:gridCol w:w="1134"/>
        <w:gridCol w:w="1247"/>
      </w:tblGrid>
      <w:tr w:rsidR="00F87B01">
        <w:tc>
          <w:tcPr>
            <w:tcW w:w="413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52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Порядок</w:t>
            </w:r>
          </w:p>
          <w:p w:rsidR="00F87B01" w:rsidRDefault="00F87B01">
            <w:pPr>
              <w:pStyle w:val="ConsPlusNormal"/>
              <w:jc w:val="center"/>
            </w:pPr>
            <w:r>
              <w:t>(рэнкинг РГО)</w:t>
            </w:r>
          </w:p>
        </w:tc>
        <w:tc>
          <w:tcPr>
            <w:tcW w:w="1406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191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Полное наименование РГО</w:t>
            </w:r>
          </w:p>
        </w:tc>
        <w:tc>
          <w:tcPr>
            <w:tcW w:w="850" w:type="dxa"/>
            <w:vMerge w:val="restart"/>
          </w:tcPr>
          <w:p w:rsidR="00F87B01" w:rsidRDefault="00F87B01">
            <w:pPr>
              <w:pStyle w:val="ConsPlusNormal"/>
              <w:jc w:val="center"/>
            </w:pPr>
            <w:r>
              <w:t>Присвоенный ранг РГО</w:t>
            </w:r>
          </w:p>
        </w:tc>
        <w:tc>
          <w:tcPr>
            <w:tcW w:w="2381" w:type="dxa"/>
            <w:gridSpan w:val="2"/>
          </w:tcPr>
          <w:p w:rsidR="00F87B01" w:rsidRDefault="00F87B01">
            <w:pPr>
              <w:pStyle w:val="ConsPlusNormal"/>
              <w:jc w:val="center"/>
            </w:pPr>
            <w:r>
              <w:t>Интегральный балл</w:t>
            </w:r>
          </w:p>
        </w:tc>
        <w:tc>
          <w:tcPr>
            <w:tcW w:w="1970" w:type="dxa"/>
            <w:gridSpan w:val="2"/>
          </w:tcPr>
          <w:p w:rsidR="00F87B01" w:rsidRDefault="00F87B01">
            <w:pPr>
              <w:pStyle w:val="ConsPlusNormal"/>
              <w:jc w:val="center"/>
            </w:pPr>
            <w:r>
              <w:t>Гарантийный капитал, тыс. руб.</w:t>
            </w:r>
          </w:p>
        </w:tc>
        <w:tc>
          <w:tcPr>
            <w:tcW w:w="2381" w:type="dxa"/>
            <w:gridSpan w:val="2"/>
          </w:tcPr>
          <w:p w:rsidR="00F87B01" w:rsidRDefault="00F87B01">
            <w:pPr>
              <w:pStyle w:val="ConsPlusNormal"/>
              <w:jc w:val="center"/>
            </w:pPr>
            <w:r>
              <w:t>Объем поручительств РГО, тыс. руб.</w:t>
            </w:r>
          </w:p>
        </w:tc>
      </w:tr>
      <w:tr w:rsidR="00F87B01">
        <w:tc>
          <w:tcPr>
            <w:tcW w:w="413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152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406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191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850" w:type="dxa"/>
            <w:vMerge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  <w:jc w:val="center"/>
            </w:pPr>
            <w:r>
              <w:t>по блоку "Финансовая устойчивость РГО"</w:t>
            </w:r>
          </w:p>
        </w:tc>
        <w:tc>
          <w:tcPr>
            <w:tcW w:w="1247" w:type="dxa"/>
          </w:tcPr>
          <w:p w:rsidR="00F87B01" w:rsidRDefault="00F87B01">
            <w:pPr>
              <w:pStyle w:val="ConsPlusNormal"/>
              <w:jc w:val="center"/>
            </w:pPr>
            <w:r>
              <w:t>по блоку "Эффективность деятельности РГО"</w:t>
            </w:r>
          </w:p>
        </w:tc>
        <w:tc>
          <w:tcPr>
            <w:tcW w:w="950" w:type="dxa"/>
          </w:tcPr>
          <w:p w:rsidR="00F87B01" w:rsidRDefault="00F87B01">
            <w:pPr>
              <w:pStyle w:val="ConsPlusNormal"/>
              <w:jc w:val="center"/>
            </w:pPr>
            <w:r>
              <w:t>Гарантийный капитал</w:t>
            </w:r>
          </w:p>
        </w:tc>
        <w:tc>
          <w:tcPr>
            <w:tcW w:w="1020" w:type="dxa"/>
          </w:tcPr>
          <w:p w:rsidR="00F87B01" w:rsidRDefault="00F87B01">
            <w:pPr>
              <w:pStyle w:val="ConsPlusNormal"/>
              <w:jc w:val="center"/>
            </w:pPr>
            <w:r>
              <w:t>Изменение гарантийного капитала</w:t>
            </w:r>
          </w:p>
        </w:tc>
        <w:tc>
          <w:tcPr>
            <w:tcW w:w="1134" w:type="dxa"/>
          </w:tcPr>
          <w:p w:rsidR="00F87B01" w:rsidRDefault="00F87B01">
            <w:pPr>
              <w:pStyle w:val="ConsPlusNormal"/>
              <w:jc w:val="center"/>
            </w:pPr>
            <w:r>
              <w:t>Портфель поручительств РГО</w:t>
            </w:r>
          </w:p>
        </w:tc>
        <w:tc>
          <w:tcPr>
            <w:tcW w:w="1247" w:type="dxa"/>
          </w:tcPr>
          <w:p w:rsidR="00F87B01" w:rsidRDefault="00F87B01">
            <w:pPr>
              <w:pStyle w:val="ConsPlusNormal"/>
              <w:jc w:val="center"/>
            </w:pPr>
            <w:r>
              <w:t>Изменение портфеля поручительств РГО</w:t>
            </w:r>
          </w:p>
        </w:tc>
      </w:tr>
      <w:tr w:rsidR="00F87B01">
        <w:tc>
          <w:tcPr>
            <w:tcW w:w="413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6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F87B01" w:rsidRDefault="00F87B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87B01" w:rsidRDefault="00F87B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87B01" w:rsidRDefault="00F87B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F87B01" w:rsidRDefault="00F87B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F87B01" w:rsidRDefault="00F87B0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F87B01" w:rsidRDefault="00F87B0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F87B01" w:rsidRDefault="00F87B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F87B01" w:rsidRDefault="00F87B01">
            <w:pPr>
              <w:pStyle w:val="ConsPlusNormal"/>
              <w:jc w:val="center"/>
            </w:pPr>
            <w:r>
              <w:t>11</w:t>
            </w:r>
          </w:p>
        </w:tc>
      </w:tr>
      <w:tr w:rsidR="00F87B01">
        <w:tc>
          <w:tcPr>
            <w:tcW w:w="413" w:type="dxa"/>
          </w:tcPr>
          <w:p w:rsidR="00F87B01" w:rsidRDefault="00F87B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2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406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91" w:type="dxa"/>
          </w:tcPr>
          <w:p w:rsidR="00F87B01" w:rsidRDefault="00F87B01">
            <w:pPr>
              <w:pStyle w:val="ConsPlusNormal"/>
            </w:pPr>
          </w:p>
        </w:tc>
        <w:tc>
          <w:tcPr>
            <w:tcW w:w="8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  <w:tc>
          <w:tcPr>
            <w:tcW w:w="9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02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</w:tr>
      <w:tr w:rsidR="00F87B01">
        <w:tc>
          <w:tcPr>
            <w:tcW w:w="413" w:type="dxa"/>
          </w:tcPr>
          <w:p w:rsidR="00F87B01" w:rsidRDefault="00F87B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2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406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91" w:type="dxa"/>
          </w:tcPr>
          <w:p w:rsidR="00F87B01" w:rsidRDefault="00F87B01">
            <w:pPr>
              <w:pStyle w:val="ConsPlusNormal"/>
            </w:pPr>
          </w:p>
        </w:tc>
        <w:tc>
          <w:tcPr>
            <w:tcW w:w="8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  <w:tc>
          <w:tcPr>
            <w:tcW w:w="9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02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</w:tr>
      <w:tr w:rsidR="00F87B01">
        <w:tc>
          <w:tcPr>
            <w:tcW w:w="413" w:type="dxa"/>
          </w:tcPr>
          <w:p w:rsidR="00F87B01" w:rsidRDefault="00F87B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2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406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91" w:type="dxa"/>
          </w:tcPr>
          <w:p w:rsidR="00F87B01" w:rsidRDefault="00F87B01">
            <w:pPr>
              <w:pStyle w:val="ConsPlusNormal"/>
            </w:pPr>
          </w:p>
        </w:tc>
        <w:tc>
          <w:tcPr>
            <w:tcW w:w="8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  <w:tc>
          <w:tcPr>
            <w:tcW w:w="9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02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</w:tr>
      <w:tr w:rsidR="00F87B01">
        <w:tc>
          <w:tcPr>
            <w:tcW w:w="413" w:type="dxa"/>
          </w:tcPr>
          <w:p w:rsidR="00F87B01" w:rsidRDefault="00F87B0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52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406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91" w:type="dxa"/>
          </w:tcPr>
          <w:p w:rsidR="00F87B01" w:rsidRDefault="00F87B01">
            <w:pPr>
              <w:pStyle w:val="ConsPlusNormal"/>
            </w:pPr>
          </w:p>
        </w:tc>
        <w:tc>
          <w:tcPr>
            <w:tcW w:w="8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  <w:tc>
          <w:tcPr>
            <w:tcW w:w="95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020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134" w:type="dxa"/>
          </w:tcPr>
          <w:p w:rsidR="00F87B01" w:rsidRDefault="00F87B01">
            <w:pPr>
              <w:pStyle w:val="ConsPlusNormal"/>
            </w:pPr>
          </w:p>
        </w:tc>
        <w:tc>
          <w:tcPr>
            <w:tcW w:w="1247" w:type="dxa"/>
          </w:tcPr>
          <w:p w:rsidR="00F87B01" w:rsidRDefault="00F87B01">
            <w:pPr>
              <w:pStyle w:val="ConsPlusNormal"/>
            </w:pPr>
          </w:p>
        </w:tc>
      </w:tr>
    </w:tbl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jc w:val="both"/>
      </w:pPr>
    </w:p>
    <w:p w:rsidR="00F87B01" w:rsidRDefault="00F87B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3A5E" w:rsidRDefault="00043A5E">
      <w:bookmarkStart w:id="12" w:name="_GoBack"/>
      <w:bookmarkEnd w:id="12"/>
    </w:p>
    <w:sectPr w:rsidR="00043A5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1"/>
    <w:rsid w:val="00043A5E"/>
    <w:rsid w:val="00F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6AE5-1C25-4C2C-98BD-1BD3A357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B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87B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7B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87B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87B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87B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87B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87B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182&amp;dst=550" TargetMode="External"/><Relationship Id="rId13" Type="http://schemas.openxmlformats.org/officeDocument/2006/relationships/hyperlink" Target="https://login.consultant.ru/link/?req=doc&amp;base=LAW&amp;n=466493&amp;dst=214" TargetMode="External"/><Relationship Id="rId18" Type="http://schemas.openxmlformats.org/officeDocument/2006/relationships/hyperlink" Target="https://login.consultant.ru/link/?req=doc&amp;base=LAW&amp;n=477368&amp;dst=179" TargetMode="External"/><Relationship Id="rId26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8240&amp;dst=100006" TargetMode="External"/><Relationship Id="rId7" Type="http://schemas.openxmlformats.org/officeDocument/2006/relationships/hyperlink" Target="https://login.consultant.ru/link/?req=doc&amp;base=LAW&amp;n=477368&amp;dst=296" TargetMode="External"/><Relationship Id="rId12" Type="http://schemas.openxmlformats.org/officeDocument/2006/relationships/hyperlink" Target="https://login.consultant.ru/link/?req=doc&amp;base=LAW&amp;n=439204&amp;dst=100034" TargetMode="External"/><Relationship Id="rId17" Type="http://schemas.openxmlformats.org/officeDocument/2006/relationships/hyperlink" Target="https://login.consultant.ru/link/?req=doc&amp;base=LAW&amp;n=477368&amp;dst=255" TargetMode="External"/><Relationship Id="rId25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009&amp;dst=100006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009&amp;dst=100006" TargetMode="External"/><Relationship Id="rId11" Type="http://schemas.openxmlformats.org/officeDocument/2006/relationships/hyperlink" Target="http://monitoring.corpmsp.ru" TargetMode="External"/><Relationship Id="rId24" Type="http://schemas.openxmlformats.org/officeDocument/2006/relationships/image" Target="media/image4.wmf"/><Relationship Id="rId5" Type="http://schemas.openxmlformats.org/officeDocument/2006/relationships/hyperlink" Target="https://login.consultant.ru/link/?req=doc&amp;base=LAW&amp;n=428240&amp;dst=100006" TargetMode="External"/><Relationship Id="rId15" Type="http://schemas.openxmlformats.org/officeDocument/2006/relationships/hyperlink" Target="https://login.consultant.ru/link/?req=doc&amp;base=LAW&amp;n=477368&amp;dst=297" TargetMode="External"/><Relationship Id="rId23" Type="http://schemas.openxmlformats.org/officeDocument/2006/relationships/image" Target="media/image3.wmf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009&amp;dst=100006" TargetMode="External"/><Relationship Id="rId19" Type="http://schemas.openxmlformats.org/officeDocument/2006/relationships/hyperlink" Target="https://login.consultant.ru/link/?req=doc&amp;base=LAW&amp;n=4332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8240&amp;dst=100006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login.consultant.ru/link/?req=doc&amp;base=LAW&amp;n=481143&amp;dst=17735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Гульманова Ирина Фановна</dc:creator>
  <cp:keywords/>
  <dc:description/>
  <cp:lastModifiedBy>Гульманова Ирина Фановна</cp:lastModifiedBy>
  <cp:revision>1</cp:revision>
  <dcterms:created xsi:type="dcterms:W3CDTF">2024-08-13T07:04:00Z</dcterms:created>
  <dcterms:modified xsi:type="dcterms:W3CDTF">2024-08-13T07:05:00Z</dcterms:modified>
</cp:coreProperties>
</file>